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1.pdf" ContentType="application/pdf"/>
  <Override PartName="/word/media/rId88.png" ContentType="image/png"/>
  <Override PartName="/word/media/rId82.png" ContentType="image/png"/>
  <Override PartName="/word/media/rId76.png" ContentType="image/png"/>
  <Override PartName="/word/media/rId79.pdf" ContentType="application/pdf"/>
  <Override PartName="/word/media/rId91.png" ContentType="image/png"/>
  <Override PartName="/word/media/rId85.png" ContentType="image/png"/>
  <Override PartName="/word/media/rId70.png" ContentType="image/png"/>
  <Override PartName="/word/media/rId73.png" ContentType="image/png"/>
  <Override PartName="/word/media/rId67.pdf" ContentType="application/pdf"/>
  <Override PartName="/word/media/rId64.pdf" ContentType="application/pdf"/>
  <Override PartName="/word/media/rId94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 Tyler, J Matthew Mahoney, Mark P Keller, Candice N. Baker,</w:t>
      </w:r>
      <w:r>
        <w:t xml:space="preserve"> </w:t>
      </w:r>
      <w:r>
        <w:t xml:space="preserve">Margaret Gaca, Anuj Srivastava, Isabela Gerdes Gyuricza, Madeleine</w:t>
      </w:r>
      <w:r>
        <w:t xml:space="preserve"> </w:t>
      </w:r>
      <w:r>
        <w:t xml:space="preserve">Braun, Nadia A Rosenthal, Alan D Attie, Gary A Churchill and Gregory W</w:t>
      </w:r>
      <w:r>
        <w:t xml:space="preserve"> </w:t>
      </w:r>
      <w:r>
        <w:t xml:space="preserve">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Gene expression is an important mediator of genetic effects on</w:t>
      </w:r>
      <w:r>
        <w:t xml:space="preserve"> </w:t>
      </w:r>
      <w:r>
        <w:t xml:space="preserve">phenotype. Although many genes are subject to simple, local regulation,</w:t>
      </w:r>
      <w:r>
        <w:t xml:space="preserve"> </w:t>
      </w:r>
      <w:r>
        <w:t xml:space="preserve">recent evidence suggests that complex distal regulation may be more</w:t>
      </w:r>
      <w:r>
        <w:t xml:space="preserve"> </w:t>
      </w:r>
      <w:r>
        <w:t xml:space="preserve">important in mediating trait variability. To investigate this</w:t>
      </w:r>
      <w:r>
        <w:t xml:space="preserve"> </w:t>
      </w:r>
      <w:r>
        <w:t xml:space="preserve">possibility, we combined two large, data sets modeling diet-induced</w:t>
      </w:r>
      <w:r>
        <w:t xml:space="preserve"> </w:t>
      </w:r>
      <w:r>
        <w:t xml:space="preserve">obesity and metabolic disease in genetically diverse mice. Using a novel</w:t>
      </w:r>
      <w:r>
        <w:t xml:space="preserve"> </w:t>
      </w:r>
      <w:r>
        <w:t xml:space="preserve">high-dimensional mediation analysis, we identified a heritable composite</w:t>
      </w:r>
      <w:r>
        <w:t xml:space="preserve"> </w:t>
      </w:r>
      <w:r>
        <w:t xml:space="preserve">transcript that explained 30% of the variation across all metabolic</w:t>
      </w:r>
      <w:r>
        <w:t xml:space="preserve"> </w:t>
      </w:r>
      <w:r>
        <w:t xml:space="preserve">traits. The composite transcript was interpretable in terms of enriched</w:t>
      </w:r>
      <w:r>
        <w:t xml:space="preserve"> </w:t>
      </w:r>
      <w:r>
        <w:t xml:space="preserve">biological processes and predicted obesity status in an independent</w:t>
      </w:r>
      <w:r>
        <w:t xml:space="preserve"> </w:t>
      </w:r>
      <w:r>
        <w:t xml:space="preserve">mouse cohort as well as in human cohorts with measured gene expression.</w:t>
      </w:r>
      <w:r>
        <w:t xml:space="preserve"> </w:t>
      </w:r>
      <w:r>
        <w:t xml:space="preserve">Transcripts contributing most strongly to this composite mediator tended</w:t>
      </w:r>
      <w:r>
        <w:t xml:space="preserve"> </w:t>
      </w:r>
      <w:r>
        <w:t xml:space="preserve">to have complex, distal regulation distributed throughout the genome.</w:t>
      </w:r>
      <w:r>
        <w:t xml:space="preserve"> </w:t>
      </w:r>
      <w:r>
        <w:t xml:space="preserve">These results suggest that trait-relevant variation in transcription is</w:t>
      </w:r>
      <w:r>
        <w:t xml:space="preserve"> </w:t>
      </w:r>
      <w:r>
        <w:t xml:space="preserve">largely distally regulated, but is nonetheless identifiable,</w:t>
      </w:r>
      <w:r>
        <w:t xml:space="preserve"> </w:t>
      </w:r>
      <w:r>
        <w:t xml:space="preserve">interpretable, and 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, and others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many variants</w:t>
      </w:r>
      <w:r>
        <w:t xml:space="preserve"> </w:t>
      </w:r>
      <w:r>
        <w:t xml:space="preserve">throughout the genome through their cumulative effects on a broader</w:t>
      </w:r>
      <w:r>
        <w:t xml:space="preserve"> </w:t>
      </w:r>
      <w:r>
        <w:t xml:space="preserve">regulatory network. In other words, the heritable component of the</w:t>
      </w:r>
      <w:r>
        <w:t xml:space="preserve"> </w:t>
      </w:r>
      <w:r>
        <w:t xml:space="preserve">transcriptome is an emergent state arising from the myriad molecular</w:t>
      </w:r>
      <w:r>
        <w:t xml:space="preserve"> </w:t>
      </w:r>
      <w:r>
        <w:t xml:space="preserve">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, including adipose</w:t>
      </w:r>
      <w:r>
        <w:t xml:space="preserve"> </w:t>
      </w:r>
      <w:r>
        <w:t xml:space="preserve">tissue, pancreatic islets, liver, and skeletal muscle. The multi-system</w:t>
      </w:r>
      <w:r>
        <w:t xml:space="preserve"> </w:t>
      </w:r>
      <w:r>
        <w:t xml:space="preserve">etiology of metabolic disease complicates mechanistic dissection of the</w:t>
      </w:r>
      <w:r>
        <w:t xml:space="preserve"> </w:t>
      </w:r>
      <w:r>
        <w:t xml:space="preserve">genetic 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</w:t>
      </w:r>
    </w:p>
    <w:p>
      <w:pPr>
        <w:pStyle w:val="BodyText"/>
      </w:pPr>
      <w:r>
        <w:t xml:space="preserve">Measuring gene expression in multiple tissues is critical to adequately</w:t>
      </w:r>
      <w:r>
        <w:t xml:space="preserve"> </w:t>
      </w:r>
      <w:r>
        <w:t xml:space="preserve">assess the extent to which local gene regulation varies across the</w:t>
      </w:r>
      <w:r>
        <w:t xml:space="preserve"> </w:t>
      </w:r>
      <w:r>
        <w:t xml:space="preserve">tissues and whether such variablilty might account for previous failed</w:t>
      </w:r>
      <w:r>
        <w:t xml:space="preserve"> </w:t>
      </w:r>
      <w:r>
        <w:t xml:space="preserve">attempts to identify trait-relevant local eQTL. Such data sets are</w:t>
      </w:r>
      <w:r>
        <w:t xml:space="preserve"> </w:t>
      </w:r>
      <w:r>
        <w:t xml:space="preserve">extremely difficult to obtain in human populations, particularly in the</w:t>
      </w:r>
      <w:r>
        <w:t xml:space="preserve"> </w:t>
      </w:r>
      <w:r>
        <w:t xml:space="preserve">large numbers of subjects required for adequate statistical power. Thus,</w:t>
      </w:r>
      <w:r>
        <w:t xml:space="preserve"> </w:t>
      </w:r>
      <w:r>
        <w:t xml:space="preserve">to further investigate the role of local and distal gene regulation on</w:t>
      </w:r>
      <w:r>
        <w:t xml:space="preserve"> </w:t>
      </w:r>
      <w:r>
        <w:t xml:space="preserve">complex traits, we generated two complementary data sets: A discovery</w:t>
      </w:r>
      <w:r>
        <w:t xml:space="preserve"> </w:t>
      </w:r>
      <w:r>
        <w:t xml:space="preserve">data set in a large population of diversity outbred (DO) mice</w:t>
      </w:r>
      <w:r>
        <w:rPr>
          <w:vertAlign w:val="superscript"/>
        </w:rPr>
        <w:t xml:space="preserve">21</w:t>
      </w:r>
      <w:r>
        <w:t xml:space="preserve">, and an independent validation data set derived by</w:t>
      </w:r>
      <w:r>
        <w:t xml:space="preserve"> </w:t>
      </w:r>
      <w:r>
        <w:t xml:space="preserve">crossing inbred strains from the Collaborative Cross (CC) mice</w:t>
      </w:r>
      <w:r>
        <w:rPr>
          <w:vertAlign w:val="superscript"/>
        </w:rPr>
        <w:t xml:space="preserve">22</w:t>
      </w:r>
      <w:r>
        <w:t xml:space="preserve"> </w:t>
      </w:r>
      <w:r>
        <w:t xml:space="preserve">to form CC F1 mice (CC-RIX). Both populations</w:t>
      </w:r>
      <w:r>
        <w:t xml:space="preserve"> </w:t>
      </w:r>
      <w:r>
        <w:t xml:space="preserve">modeled diet-induced obesity and metabolic disease</w:t>
      </w:r>
      <w:r>
        <w:rPr>
          <w:vertAlign w:val="superscript"/>
        </w:rPr>
        <w:t xml:space="preserve">12</w:t>
      </w:r>
    </w:p>
    <w:p>
      <w:pPr>
        <w:pStyle w:val="BodyText"/>
      </w:pPr>
      <w:r>
        <w:t xml:space="preserve">The DO population and CC recombinant inbred lines were derived from the</w:t>
      </w:r>
      <w:r>
        <w:t xml:space="preserve"> </w:t>
      </w:r>
      <w:r>
        <w:t xml:space="preserve">same eight inbred founder mouse strains, five classical lab strains, and</w:t>
      </w:r>
      <w:r>
        <w:t xml:space="preserve"> </w:t>
      </w:r>
      <w:r>
        <w:t xml:space="preserve">three strains more recently derived from wild mice</w:t>
      </w:r>
      <w:r>
        <w:rPr>
          <w:vertAlign w:val="superscript"/>
        </w:rPr>
        <w:t xml:space="preserve">21</w:t>
      </w:r>
      <w:r>
        <w:t xml:space="preserve">.</w:t>
      </w:r>
      <w:r>
        <w:t xml:space="preserve"> </w:t>
      </w:r>
      <w:r>
        <w:t xml:space="preserve">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23</w:t>
      </w:r>
      <w:r>
        <w:t xml:space="preserve">. The DO mice are maintained with</w:t>
      </w:r>
      <w:r>
        <w:t xml:space="preserve"> </w:t>
      </w:r>
      <w:r>
        <w:t xml:space="preserve">a 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21</w:t>
      </w:r>
      <w:r>
        <w:t xml:space="preserve">. The CC mice were initially</w:t>
      </w:r>
      <w:r>
        <w:t xml:space="preserve"> </w:t>
      </w:r>
      <w:r>
        <w:t xml:space="preserve">outcrossed to recombine the genomes from all eight founders, and then</w:t>
      </w:r>
      <w:r>
        <w:t xml:space="preserve"> </w:t>
      </w:r>
      <w:r>
        <w:t xml:space="preserve">inbred for at least 20 generations to generate multiple inbred lines.</w:t>
      </w:r>
      <w:r>
        <w:t xml:space="preserve"> </w:t>
      </w:r>
      <w:r>
        <w:t xml:space="preserve">Because these two populations have common ancestral haplotyped we could</w:t>
      </w:r>
      <w:r>
        <w:t xml:space="preserve"> </w:t>
      </w:r>
      <w:r>
        <w:t xml:space="preserve">directly and unambiguously compare the local genetic effects on gene</w:t>
      </w:r>
      <w:r>
        <w:t xml:space="preserve"> </w:t>
      </w:r>
      <w:r>
        <w:t xml:space="preserve">expression at the whole-transcriptome level while varying the population</w:t>
      </w:r>
      <w:r>
        <w:t xml:space="preserve"> </w:t>
      </w:r>
      <w:r>
        <w:t xml:space="preserve">structure driving distal regulation.</w:t>
      </w:r>
    </w:p>
    <w:p>
      <w:pPr>
        <w:pStyle w:val="BodyText"/>
      </w:pPr>
      <w:r>
        <w:t xml:space="preserve">In the DO population, we paired clinically relevant metabolic traits</w:t>
      </w:r>
      <w:r>
        <w:t xml:space="preserve"> </w:t>
      </w:r>
      <w:r>
        <w:t xml:space="preserve">from 500 mice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, including body weight, plasma levels of insulin</w:t>
      </w:r>
      <w:r>
        <w:t xml:space="preserve"> </w:t>
      </w:r>
      <w:r>
        <w:t xml:space="preserve">and glucose and plasma lipids, with transcriptome-wide gene expression</w:t>
      </w:r>
      <w:r>
        <w:t xml:space="preserve"> </w:t>
      </w:r>
      <w:r>
        <w:t xml:space="preserve">in four tissues related to metabolic disease: adipose tissue, pancreatic</w:t>
      </w:r>
      <w:r>
        <w:t xml:space="preserve"> </w:t>
      </w:r>
      <w:r>
        <w:t xml:space="preserve">islets, liver, and skeletal muscle. We measured similar metabolic traits</w:t>
      </w:r>
      <w:r>
        <w:t xml:space="preserve"> </w:t>
      </w:r>
      <w:r>
        <w:t xml:space="preserve">in the CC-RIX and gene expression from three of the four tissues used in</w:t>
      </w:r>
      <w:r>
        <w:t xml:space="preserve"> </w:t>
      </w:r>
      <w:r>
        <w:t xml:space="preserve">the DO: adipose tissue, liver, and skeletal muscle. Because the CC-RIX</w:t>
      </w:r>
      <w:r>
        <w:t xml:space="preserve"> </w:t>
      </w:r>
      <w:r>
        <w:t xml:space="preserve">carry the same founder alleles as the DO, local gene regulation is</w:t>
      </w:r>
      <w:r>
        <w:t xml:space="preserve"> </w:t>
      </w:r>
      <w:r>
        <w:t xml:space="preserve">expected to match between the populations, but because the alleles are</w:t>
      </w:r>
      <w:r>
        <w:t xml:space="preserve"> </w:t>
      </w:r>
      <w:r>
        <w:t xml:space="preserve">recombined through the genome, distal effects are expected to vary from</w:t>
      </w:r>
      <w:r>
        <w:t xml:space="preserve"> </w:t>
      </w:r>
      <w:r>
        <w:t xml:space="preserve">those in the DO, allowing us to directly assess the role of local gene</w:t>
      </w:r>
      <w:r>
        <w:t xml:space="preserve"> </w:t>
      </w:r>
      <w:r>
        <w:t xml:space="preserve">regulation in driving trait-associated transcript variation. Together,</w:t>
      </w:r>
      <w:r>
        <w:t xml:space="preserve"> </w:t>
      </w:r>
      <w:r>
        <w:t xml:space="preserve">these data enable a comprehensive view into the genetic architecture of</w:t>
      </w:r>
      <w:r>
        <w:t xml:space="preserve"> </w:t>
      </w:r>
      <w:r>
        <w:t xml:space="preserve">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in mice, we assayed metabolic traits and multi-tissue</w:t>
      </w:r>
      <w:r>
        <w:t xml:space="preserve"> </w:t>
      </w:r>
      <w:r>
        <w:t xml:space="preserve">gene expression in DO mice.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the DO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(Males: 18.5 -</w:t>
      </w:r>
      <w:r>
        <w:t xml:space="preserve"> </w:t>
      </w:r>
      <w:r>
        <w:t xml:space="preserve">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</w:t>
      </w:r>
      <w:r>
        <w:t xml:space="preserve"> </w:t>
      </w:r>
      <w:r>
        <w:t xml:space="preserve">blood glucose (FBG) also varied 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B), although few of the animals had FBG levels</w:t>
      </w:r>
      <w:r>
        <w:t xml:space="preserve"> </w:t>
      </w:r>
      <w:r>
        <w:t xml:space="preserve">that would indicate pre-diabetes (19 animals, 3.8%), or diabetes (7</w:t>
      </w:r>
      <w:r>
        <w:t xml:space="preserve"> </w:t>
      </w:r>
      <w:r>
        <w:t xml:space="preserve">animals, 1.4%) according to previously developed cutoffs (pre-diabetes:</w:t>
      </w:r>
      <w:r>
        <w:t xml:space="preserve"> </w:t>
      </w:r>
      <w:r>
        <w:t xml:space="preserve">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24</w:t>
      </w:r>
      <w:r>
        <w:t xml:space="preserve">. Males had higher FBG than females on 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 either</w:t>
      </w:r>
      <w:r>
        <w:t xml:space="preserve"> </w:t>
      </w:r>
      <w:r>
        <w:t xml:space="preserve">that males were more susceptible to metabolic disease on the high-fat</w:t>
      </w:r>
      <w:r>
        <w:t xml:space="preserve"> </w:t>
      </w:r>
      <w:r>
        <w:t xml:space="preserve">diet, or that males and females may require different thresholds for</w:t>
      </w:r>
      <w:r>
        <w:t xml:space="preserve"> </w:t>
      </w:r>
      <w:r>
        <w:t xml:space="preserve">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showed that most</w:t>
      </w:r>
      <w:r>
        <w:t xml:space="preserve"> </w:t>
      </w:r>
      <w:r>
        <w:t xml:space="preserve">of the metabolic trait pairs were only modestly correlated indicating</w:t>
      </w:r>
      <w:r>
        <w:t xml:space="preserve"> </w:t>
      </w:r>
      <w:r>
        <w:t xml:space="preserve">complex relationships among the measured traits. This low level of</w:t>
      </w:r>
      <w:r>
        <w:t xml:space="preserve"> </w:t>
      </w:r>
      <w:r>
        <w:t xml:space="preserve">redundancy suggests a broad sampling of multiple heritable aspects of</w:t>
      </w:r>
      <w:r>
        <w:t xml:space="preserve"> </w:t>
      </w:r>
      <w:r>
        <w:t xml:space="preserve">metabolic disease including overall body weight, glucose homeostasis,</w:t>
      </w:r>
      <w:r>
        <w:t xml:space="preserve"> </w:t>
      </w:r>
      <w:r>
        <w:t xml:space="preserve">pancreatic 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we assayed adipose, islet, liver, and skeletal muscle</w:t>
      </w:r>
      <w:r>
        <w:t xml:space="preserve"> </w:t>
      </w:r>
      <w:r>
        <w:t xml:space="preserve">gene expression in the DO cohort. We performed eQTL analysis using</w:t>
      </w:r>
      <w:r>
        <w:t xml:space="preserve"> </w:t>
      </w:r>
      <w:r>
        <w:t xml:space="preserve">R/qtl2</w:t>
      </w:r>
      <w:r>
        <w:rPr>
          <w:vertAlign w:val="superscript"/>
        </w:rPr>
        <w:t xml:space="preserve">25</w:t>
      </w:r>
      <w:r>
        <w:t xml:space="preserve"> </w:t>
      </w:r>
      <w:r>
        <w:t xml:space="preserve">(Methods) and identified both local and</w:t>
      </w:r>
      <w:r>
        <w:t xml:space="preserve"> </w:t>
      </w:r>
      <w:r>
        <w:t xml:space="preserve">distal eQTLs for transcripts in each of the four tissues (Fig.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). Significant local eQTLs far outnumbered distal eQTLs</w:t>
      </w:r>
      <w:r>
        <w:t xml:space="preserve"> </w:t>
      </w:r>
      <w:r>
        <w:t xml:space="preserve">(Fig.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F) and tended to be shared across tissues (Fig.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G) whereas the few significant distal eQTLs we identified</w:t>
      </w:r>
      <w:r>
        <w:t xml:space="preserve"> </w:t>
      </w:r>
      <w:r>
        <w:t xml:space="preserve">tended to be tissue-specific (Fig.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To assess the importance of genetic regulation transcript levels to</w:t>
      </w:r>
      <w:r>
        <w:t xml:space="preserve"> </w:t>
      </w:r>
      <w:r>
        <w:t xml:space="preserve">organism-level traits, we compared the local and distal heritabilities</w:t>
      </w:r>
      <w:r>
        <w:t xml:space="preserve"> </w:t>
      </w:r>
      <w:r>
        <w:t xml:space="preserve">of transcripts to their trait relevance, defined as the maximum</w:t>
      </w:r>
      <w:r>
        <w:t xml:space="preserve"> </w:t>
      </w:r>
      <w:r>
        <w:t xml:space="preserve">correlation of a transcript across all traits. The local heritability of</w:t>
      </w:r>
      <w:r>
        <w:t xml:space="preserve"> </w:t>
      </w:r>
      <w:r>
        <w:t xml:space="preserve">transcripts was negatively correlated with their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B), suggesting that the more local genotype</w:t>
      </w:r>
      <w:r>
        <w:t xml:space="preserve"> </w:t>
      </w:r>
      <w:r>
        <w:t xml:space="preserve">influenced transcript abundance, the less effect this variation had on</w:t>
      </w:r>
      <w:r>
        <w:t xml:space="preserve"> </w:t>
      </w:r>
      <w:r>
        <w:t xml:space="preserve">the measured traits. Conversely, the distal heritability of transcripts</w:t>
      </w:r>
      <w:r>
        <w:t xml:space="preserve"> </w:t>
      </w:r>
      <w:r>
        <w:t xml:space="preserve">was positively correlated with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 more highly</w:t>
      </w:r>
      <w:r>
        <w:t xml:space="preserve"> </w:t>
      </w:r>
      <w:r>
        <w:t xml:space="preserve">correlated with the measured traits tended to be distally, rather than</w:t>
      </w:r>
      <w:r>
        <w:t xml:space="preserve"> </w:t>
      </w:r>
      <w:r>
        <w:t xml:space="preserve">locally, heritable. Importantly, this pattern was consistent across all</w:t>
      </w:r>
      <w:r>
        <w:t xml:space="preserve"> </w:t>
      </w:r>
      <w:r>
        <w:t xml:space="preserve">tissues, strongly suggesting that this is a generic finding. This</w:t>
      </w:r>
      <w:r>
        <w:t xml:space="preserve"> </w:t>
      </w:r>
      <w:r>
        <w:t xml:space="preserve">finding is consistent with previous observations that low-heritability</w:t>
      </w:r>
      <w:r>
        <w:t xml:space="preserve"> </w:t>
      </w:r>
      <w:r>
        <w:t xml:space="preserve">transcripts explain more expression-mediated disease heritability than</w:t>
      </w:r>
      <w:r>
        <w:t xml:space="preserve"> </w:t>
      </w:r>
      <w:r>
        <w:t xml:space="preserve">high-heritability transcripts</w:t>
      </w:r>
      <w:r>
        <w:rPr>
          <w:vertAlign w:val="superscript"/>
        </w:rPr>
        <w:t xml:space="preserve">19</w:t>
      </w:r>
      <w:r>
        <w:t xml:space="preserve">. However, the positive</w:t>
      </w:r>
      <w:r>
        <w:t xml:space="preserve"> </w:t>
      </w:r>
      <w:r>
        <w:t xml:space="preserve">relationship between trait correlation and distal heritability</w:t>
      </w:r>
      <w:r>
        <w:t xml:space="preserve"> </w:t>
      </w:r>
      <w:r>
        <w:t xml:space="preserve">demonstrated further that there are diffuse genetic effects throughout</w:t>
      </w:r>
      <w:r>
        <w:t xml:space="preserve"> </w:t>
      </w:r>
      <w:r>
        <w:t xml:space="preserve">the genome converging on trait-related transcripts.</w:t>
      </w:r>
    </w:p>
    <w:bookmarkEnd w:id="29"/>
    <w:bookmarkStart w:id="33" w:name="Xc32a7935ddf6e40793dfcb067da7ad59422734d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phenotypes. Thus, we</w:t>
      </w:r>
      <w:r>
        <w:t xml:space="preserve"> </w:t>
      </w:r>
      <w:r>
        <w:t xml:space="preserve">expect the heritable, trait-relevant transcripts to be highly correlated</w:t>
      </w:r>
      <w:r>
        <w:t xml:space="preserve"> </w:t>
      </w:r>
      <w:r>
        <w:t xml:space="preserve">and organized according to coherent, emergent biological processes</w:t>
      </w:r>
      <w:r>
        <w:t xml:space="preserve"> </w:t>
      </w:r>
      <w:r>
        <w:t xml:space="preserve">representing the mediating endophenotypes driving clinical trait</w:t>
      </w:r>
      <w:r>
        <w:t xml:space="preserve"> </w:t>
      </w:r>
      <w:r>
        <w:t xml:space="preserve">variation. To identify these endophenotypes in a theoretically</w:t>
      </w:r>
      <w:r>
        <w:t xml:space="preserve"> </w:t>
      </w:r>
      <w:r>
        <w:t xml:space="preserve">principled way, we developed a novel dimension-reduction technique,</w:t>
      </w:r>
      <w:r>
        <w:t xml:space="preserve"> </w:t>
      </w:r>
      <w:r>
        <w:t xml:space="preserve">HDMA, that uses the theory of causal graphical models to identify a</w:t>
      </w:r>
      <w:r>
        <w:t xml:space="preserve"> </w:t>
      </w:r>
      <w:r>
        <w:t xml:space="preserve">transcriptomic signature that is simultaneously 1) highly heritable, 2)</w:t>
      </w:r>
      <w:r>
        <w:t xml:space="preserve"> </w:t>
      </w:r>
      <w:r>
        <w:t xml:space="preserve">strongly correlated to the measured phenotypes, and 3) conforms to the</w:t>
      </w:r>
      <w:r>
        <w:t xml:space="preserve"> </w:t>
      </w:r>
      <w:r>
        <w:t xml:space="preserve">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HDMA projects the</w:t>
      </w:r>
      <w:r>
        <w:t xml:space="preserve"> </w:t>
      </w:r>
      <w:r>
        <w:t xml:space="preserve">high-dimensional scores–a composite genome score 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</w:t>
      </w:r>
      <w:r>
        <w:t xml:space="preserve"> </w:t>
      </w:r>
      <w:r>
        <w:t xml:space="preserve">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 phenome score</w:t>
      </w:r>
      <w:r>
        <w:t xml:space="preserve"> </w:t>
      </w:r>
      <w:r>
        <w:t xml:space="preserve">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 constrain</w:t>
      </w:r>
      <w:r>
        <w:t xml:space="preserve"> </w:t>
      </w:r>
      <w:r>
        <w:t xml:space="preserve">these projections to satisfy the hypotheses of perfect mediation, namely</w:t>
      </w:r>
      <w:r>
        <w:t xml:space="preserve"> </w:t>
      </w:r>
      <w:r>
        <w:t xml:space="preserve">that upon controlling for the transcriptomic score, the genome score is</w:t>
      </w:r>
      <w:r>
        <w:t xml:space="preserve"> </w:t>
      </w:r>
      <w:r>
        <w:t xml:space="preserve">uncorrelated to the phenome score. Formally, perfect mediation implies a</w:t>
      </w:r>
      <w:r>
        <w:t xml:space="preserve"> </w:t>
      </w:r>
      <w:r>
        <w:t xml:space="preserve">constraint on the correlation coefficients among scores as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</m:oMath>
      </m:oMathPara>
    </w:p>
    <w:p>
      <w:pPr>
        <w:pStyle w:val="FirstParagraph"/>
      </w:pPr>
      <w:r>
        <w:t xml:space="preserve">which is equivalent to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after controlling for T_C being zero. The value</w:t>
      </w:r>
      <w:r>
        <w:t xml:space="preserve"> </w:t>
      </w:r>
      <m:oMath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G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</m:e>
        </m:d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P</m:t>
                </m:r>
              </m:e>
              <m:sub>
                <m:r>
                  <m:t>C</m:t>
                </m:r>
              </m:sub>
            </m:sSub>
          </m:e>
        </m:d>
      </m:oMath>
      <w:r>
        <w:t xml:space="preserve"> </w:t>
      </w:r>
      <w:r>
        <w:t xml:space="preserve">is called the path coefficient of the</w:t>
      </w:r>
      <w:r>
        <w:t xml:space="preserve"> </w:t>
      </w:r>
      <w:r>
        <w:t xml:space="preserve">mediation model. The projections of the high-dimensional data matrices</w:t>
      </w:r>
      <w:r>
        <w:t xml:space="preserve"> </w:t>
      </w:r>
      <w:r>
        <w:t xml:space="preserve">in HDMA are designed to satisfy this constraint, and thus conform to the</w:t>
      </w:r>
      <w:r>
        <w:t xml:space="preserve"> </w:t>
      </w:r>
      <w:r>
        <w:t xml:space="preserve">perfect mediation hypothesis, as closely as possible. We stress,</w:t>
      </w:r>
      <w:r>
        <w:t xml:space="preserve"> </w:t>
      </w:r>
      <w:r>
        <w:t xml:space="preserve">however, that validating any causal assertion requires direct</w:t>
      </w:r>
      <w:r>
        <w:t xml:space="preserve"> </w:t>
      </w:r>
      <w:r>
        <w:t xml:space="preserve">experimentation and, thus, that the output of HDMA are scores that are</w:t>
      </w:r>
      <w:r>
        <w:t xml:space="preserve"> </w:t>
      </w:r>
      <w:r>
        <w:t xml:space="preserve">consistent with causal mediation. Thus, HDMA is a strategy for causal</w:t>
      </w:r>
      <w:r>
        <w:t xml:space="preserve"> </w:t>
      </w:r>
      <w:r>
        <w:t xml:space="preserve">hypothesis generation, where the causal mediator is a complex</w:t>
      </w:r>
      <w:r>
        <w:t xml:space="preserve"> </w:t>
      </w:r>
      <w:r>
        <w:t xml:space="preserve">endophenotype learned from a high-dimensional readout.</w:t>
      </w:r>
    </w:p>
    <w:p>
      <w:pPr>
        <w:pStyle w:val="BodyText"/>
      </w:pPr>
      <w:r>
        <w:t xml:space="preserve">Operationally, HDMA is closely related to generalized canonical</w:t>
      </w:r>
      <w:r>
        <w:t xml:space="preserve"> </w:t>
      </w:r>
      <w:r>
        <w:t xml:space="preserve">correlation analysis (CCA),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26</w:t>
      </w:r>
      <w:r>
        <w:t xml:space="preserve">. A complete mathematical</w:t>
      </w:r>
      <w:r>
        <w:t xml:space="preserve"> </w:t>
      </w:r>
      <w:r>
        <w:t xml:space="preserve">derivation and implementation details for HDMA are available in</w:t>
      </w:r>
      <w:r>
        <w:t xml:space="preserve"> </w:t>
      </w:r>
      <w:r>
        <w:rPr>
          <w:bCs/>
          <w:b/>
        </w:rPr>
        <w:t xml:space="preserve">Supp. Methods XXX</w:t>
      </w:r>
      <w:r>
        <w:t xml:space="preserve">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independently normalized and converted to</w:t>
      </w:r>
      <w:r>
        <w:t xml:space="preserve"> </w:t>
      </w:r>
      <w:r>
        <w:t xml:space="preserve">kernel matrices representing the pairwise relationships between</w:t>
      </w:r>
      <w:r>
        <w:t xml:space="preserve"> </w:t>
      </w:r>
      <w:r>
        <w:t xml:space="preserve">individuals for each data modality (</w:t>
      </w:r>
      <m:oMath>
        <m:sSub>
          <m:e>
            <m:r>
              <m:t>K</m:t>
            </m:r>
          </m:e>
          <m:sub>
            <m:r>
              <m:t>G</m:t>
            </m:r>
          </m:sub>
        </m:sSub>
      </m:oMath>
      <w:r>
        <w:t xml:space="preserve"> </w:t>
      </w:r>
      <w:r>
        <w:t xml:space="preserve">= genome kernel,</w:t>
      </w:r>
      <w:r>
        <w:t xml:space="preserve"> </w:t>
      </w:r>
      <m:oMath>
        <m:sSub>
          <m:e>
            <m:r>
              <m:t>K</m:t>
            </m:r>
          </m:e>
          <m:sub>
            <m:r>
              <m:t>T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transcriptome kernel;</w:t>
      </w:r>
      <w:r>
        <w:t xml:space="preserve"> </w:t>
      </w:r>
      <m:oMath>
        <m:sSub>
          <m:e>
            <m:r>
              <m:t>K</m:t>
            </m:r>
          </m:e>
          <m:sub>
            <m:r>
              <m:t>P</m:t>
            </m:r>
          </m:sub>
        </m:sSub>
      </m:oMath>
      <w:r>
        <w:t xml:space="preserve"> </w:t>
      </w:r>
      <w:r>
        <w:t xml:space="preserve">= phenome kernel).</w:t>
      </w:r>
      <w:r>
        <w:t xml:space="preserve"> </w:t>
      </w:r>
      <w:r>
        <w:t xml:space="preserve">High-dimensional mediation was applied to these matrices to maximize the</w:t>
      </w:r>
      <w:r>
        <w:t xml:space="preserve"> </w:t>
      </w:r>
      <w:r>
        <w:t xml:space="preserve">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</w:t>
      </w:r>
      <w:r>
        <w:t xml:space="preserve"> </w:t>
      </w:r>
      <w:r>
        <w:t xml:space="preserve">while 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</w:t>
      </w:r>
      <w:r>
        <w:t xml:space="preserve"> </w:t>
      </w:r>
      <w:r>
        <w:t xml:space="preserve">line). 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HDMA to identify the major axis of variation in the</w:t>
      </w:r>
      <w:r>
        <w:t xml:space="preserve"> </w:t>
      </w:r>
      <w:r>
        <w:t xml:space="preserve">transcriptome was consistent with mediating the effects of the genome on</w:t>
      </w:r>
      <w:r>
        <w:t xml:space="preserve"> </w:t>
      </w:r>
      <w:r>
        <w:t xml:space="preserve">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and a highly</w:t>
      </w:r>
      <w:r>
        <w:t xml:space="preserve"> </w:t>
      </w:r>
      <w:r>
        <w:t xml:space="preserve">heritable component of the transcriptome that are correlated as expected</w:t>
      </w:r>
      <w:r>
        <w:t xml:space="preserve"> </w:t>
      </w:r>
      <w:r>
        <w:t xml:space="preserve">in the perfectly mediated model.</w:t>
      </w:r>
    </w:p>
    <w:p>
      <w:pPr>
        <w:pStyle w:val="BodyText"/>
      </w:pPr>
      <w:r>
        <w:t xml:space="preserve">As discussed in Supp. Methods XXX, HDMA is related to a generalized form</w:t>
      </w:r>
      <w:r>
        <w:t xml:space="preserve"> </w:t>
      </w:r>
      <w:r>
        <w:t xml:space="preserve">of CCA. Standard CCA is prone to over-fitting because in any two large</w:t>
      </w:r>
      <w:r>
        <w:t xml:space="preserve"> </w:t>
      </w:r>
      <w:r>
        <w:t xml:space="preserve">matrices it can be trivial to identify highly correlated composite</w:t>
      </w:r>
      <w:r>
        <w:t xml:space="preserve"> </w:t>
      </w:r>
      <w:r>
        <w:t xml:space="preserve">vectors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assess whether our implementation of HDMA was</w:t>
      </w:r>
      <w:r>
        <w:t xml:space="preserve"> </w:t>
      </w:r>
      <w:r>
        <w:t xml:space="preserve">similarly prone to over-fitting in a high-dimensional space, we</w:t>
      </w:r>
      <w:r>
        <w:t xml:space="preserve"> </w:t>
      </w:r>
      <w:r>
        <w:t xml:space="preserve">performed 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</w:t>
      </w:r>
      <w:r>
        <w:t xml:space="preserve"> </w:t>
      </w:r>
      <w:r>
        <w:t xml:space="preserve">strenght of the path 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putatively mediated</w:t>
      </w:r>
      <w:r>
        <w:t xml:space="preserve"> </w:t>
      </w:r>
      <w:r>
        <w:t xml:space="preserve">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 distribution of the path coefficient is shown</w:t>
      </w:r>
      <w:r>
        <w:t xml:space="preserve"> </w:t>
      </w:r>
      <w:r>
        <w:t xml:space="preserve">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</w:t>
      </w:r>
      <w:r>
        <w:t xml:space="preserve"> </w:t>
      </w:r>
      <w:r>
        <w:t xml:space="preserve">original data is indicated by a red line. The observed path coefficient</w:t>
      </w:r>
      <w:r>
        <w:t xml:space="preserve"> </w:t>
      </w:r>
      <w:r>
        <w:t xml:space="preserve">was 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putative transcriptional mediation of body weight and insulin</w:t>
      </w:r>
      <w:r>
        <w:t xml:space="preserve"> </w:t>
      </w:r>
      <w:r>
        <w:t xml:space="preserve">resistance, as 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adipose tissue gene expression was a strong mediator of</w:t>
      </w:r>
      <w:r>
        <w:t xml:space="preserve"> </w:t>
      </w:r>
      <w:r>
        <w:t xml:space="preserve">genotype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27,28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</w:t>
      </w:r>
      <w:r>
        <w:t xml:space="preserve"> </w:t>
      </w:r>
      <w:r>
        <w:t xml:space="preserve">KEGG pathways associated with inflammation, particularly macrophage</w:t>
      </w:r>
      <w:r>
        <w:t xml:space="preserve"> </w:t>
      </w:r>
      <w:r>
        <w:t xml:space="preserve">infiltration, were positively associated with metabolic index,</w:t>
      </w:r>
      <w:r>
        <w:t xml:space="preserve"> </w:t>
      </w:r>
      <w:r>
        <w:t xml:space="preserve">indicating that increased expression in inflammatory pathways was</w:t>
      </w:r>
      <w:r>
        <w:t xml:space="preserve"> </w:t>
      </w:r>
      <w:r>
        <w:t xml:space="preserve">associated with a higher metabolic index. It is well established that</w:t>
      </w:r>
      <w:r>
        <w:t xml:space="preserve"> </w:t>
      </w:r>
      <w:r>
        <w:t xml:space="preserve">adipose tissue in obese individuals is inflamed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and</w:t>
      </w:r>
      <w:r>
        <w:t xml:space="preserve"> </w:t>
      </w:r>
      <w:r>
        <w:t xml:space="preserve">infiltrated by macrophages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, and the results here suggest that</w:t>
      </w:r>
      <w:r>
        <w:t xml:space="preserve"> </w:t>
      </w:r>
      <w:r>
        <w:t xml:space="preserve">this may be a dominant heritable component of metabolic 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). Genes in the</w:t>
      </w:r>
      <w:r>
        <w:t xml:space="preserve"> </w:t>
      </w:r>
      <w:r>
        <w:t xml:space="preserve">KEGG oxidative phosphorylation pathway in mice were almost universally</w:t>
      </w:r>
      <w:r>
        <w:t xml:space="preserve"> </w:t>
      </w:r>
      <w:r>
        <w:t xml:space="preserve">negatively loaded in adipose tissue, suggesting that increased</w:t>
      </w:r>
      <w:r>
        <w:t xml:space="preserve"> </w:t>
      </w:r>
      <w:r>
        <w:t xml:space="preserve">expression of these genes was associated with reduced metabolic index</w:t>
      </w:r>
      <w:r>
        <w:t xml:space="preserve"> </w:t>
      </w:r>
      <w:r>
        <w:t xml:space="preserve">(Supp. Fig.</w:t>
      </w:r>
      <w:r>
        <w:t xml:space="preserve"> </w:t>
      </w:r>
      <w:hyperlink w:anchor="fig:oxPhos">
        <w:r>
          <w:rPr>
            <w:rStyle w:val="Hyperlink"/>
          </w:rPr>
          <w:t xml:space="preserve">12</w:t>
        </w:r>
      </w:hyperlink>
      <w:r>
        <w:t xml:space="preserve">). Consistent with this observations, it has</w:t>
      </w:r>
      <w:r>
        <w:t xml:space="preserve"> </w:t>
      </w:r>
      <w:r>
        <w:t xml:space="preserve">been shown previously that mouse strains with greater thermogenic</w:t>
      </w:r>
      <w:r>
        <w:t xml:space="preserve"> </w:t>
      </w:r>
      <w:r>
        <w:t xml:space="preserve">potential are also less susceptible to obesity on a high-fat diet</w:t>
      </w:r>
      <w:r>
        <w:rPr>
          <w:vertAlign w:val="superscript"/>
        </w:rPr>
        <w:t xml:space="preserve">29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,</w:t>
      </w:r>
      <w:r>
        <w:t xml:space="preserve"> </w:t>
      </w:r>
      <w:hyperlink w:anchor="fig:TCA_cycle">
        <w:r>
          <w:rPr>
            <w:rStyle w:val="Hyperlink"/>
          </w:rPr>
          <w:t xml:space="preserve">13</w:t>
        </w:r>
      </w:hyperlink>
      <w:r>
        <w:t xml:space="preserve"> </w:t>
      </w:r>
      <w:r>
        <w:t xml:space="preserve">and</w:t>
      </w:r>
      <w:r>
        <w:t xml:space="preserve"> </w:t>
      </w:r>
      <w:hyperlink w:anchor="fig:bcaa_degrataion">
        <w:r>
          <w:rPr>
            <w:rStyle w:val="Hyperlink"/>
          </w:rPr>
          <w:t xml:space="preserve">14</w:t>
        </w:r>
      </w:hyperlink>
      <w:r>
        <w:t xml:space="preserve">). Expression of genes in both pathways (for</w:t>
      </w:r>
      <w:r>
        <w:t xml:space="preserve"> </w:t>
      </w:r>
      <w:r>
        <w:t xml:space="preserve">which 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12,30,31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loadings, consistent</w:t>
      </w:r>
      <w:r>
        <w:t xml:space="preserve"> </w:t>
      </w:r>
      <w:r>
        <w:t xml:space="preserve">with our findings above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2.375 more likely than TWAS hits and 3.8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 had large positive loadings in three of the four</w:t>
      </w:r>
      <w:r>
        <w:t xml:space="preserve"> </w:t>
      </w:r>
      <w:r>
        <w:t xml:space="preserve">tissues potentially suggesting system-wide hyptertrophy. Otherwise, all</w:t>
      </w:r>
      <w:r>
        <w:t xml:space="preserve"> </w:t>
      </w:r>
      <w:r>
        <w:t xml:space="preserve">clusters were strongly loaded in only one or two tissues. For example,</w:t>
      </w:r>
      <w:r>
        <w:t xml:space="preserve"> </w:t>
      </w:r>
      <w:r>
        <w:t xml:space="preserve">the lipid metabolism cluster was loaded most heavily in liver. The</w:t>
      </w:r>
      <w:r>
        <w:t xml:space="preserve"> </w:t>
      </w:r>
      <w:r>
        <w:t xml:space="preserve">positive loadings suggest that high expression of these genes</w:t>
      </w:r>
      <w:r>
        <w:t xml:space="preserve"> </w:t>
      </w:r>
      <w:r>
        <w:t xml:space="preserve">particularly in the liver was associated with increased metabolic</w:t>
      </w:r>
      <w:r>
        <w:t xml:space="preserve"> </w:t>
      </w:r>
      <w:r>
        <w:t xml:space="preserve">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</w:t>
      </w:r>
      <w:r>
        <w:t xml:space="preserve"> </w:t>
      </w:r>
      <w:r>
        <w:t xml:space="preserve">role is in the adipose tissue where it is considered a master regulator</w:t>
      </w:r>
      <w:r>
        <w:t xml:space="preserve"> </w:t>
      </w:r>
      <w:r>
        <w:t xml:space="preserve">of adipogenesis</w:t>
      </w:r>
      <w:r>
        <w:rPr>
          <w:vertAlign w:val="superscript"/>
        </w:rPr>
        <w:t xml:space="preserve">32</w:t>
      </w:r>
      <w:r>
        <w:t xml:space="preserve">. 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</w:t>
      </w:r>
      <w:r>
        <w:t xml:space="preserve"> </w:t>
      </w:r>
      <w:r>
        <w:t xml:space="preserve">thiazolidinediones, are FDA-approved to treat type II diabetes, and</w:t>
      </w:r>
      <w:r>
        <w:t xml:space="preserve"> </w:t>
      </w:r>
      <w:r>
        <w:t xml:space="preserve">reduce inflammation and adipose hyptertrophy</w:t>
      </w:r>
      <w:r>
        <w:rPr>
          <w:vertAlign w:val="superscript"/>
        </w:rPr>
        <w:t xml:space="preserve">32</w:t>
      </w:r>
      <w:r>
        <w:t xml:space="preserve">.</w:t>
      </w:r>
      <w:r>
        <w:t xml:space="preserve"> </w:t>
      </w:r>
      <w:r>
        <w:t xml:space="preserve">Consistent with this role, the loading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</w:t>
      </w:r>
      <w:r>
        <w:t xml:space="preserve"> </w:t>
      </w:r>
      <w:r>
        <w:t xml:space="preserve">tissue was negative, suggesting that higher expression was associated</w:t>
      </w:r>
      <w:r>
        <w:t xml:space="preserve"> </w:t>
      </w:r>
      <w:r>
        <w:t xml:space="preserve">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</w:t>
      </w:r>
      <w:r>
        <w:t xml:space="preserve"> </w:t>
      </w:r>
      <w:r>
        <w:t xml:space="preserve">a large positive loading in liver, where it is known to play a role in</w:t>
      </w:r>
      <w:r>
        <w:t xml:space="preserve"> </w:t>
      </w:r>
      <w:r>
        <w:t xml:space="preserve">the development of hepatic steatosis, or 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 are protected from developing</w:t>
      </w:r>
      <w:r>
        <w:t xml:space="preserve"> </w:t>
      </w:r>
      <w:r>
        <w:t xml:space="preserve">steatosis and show reduced expression of lipogenic genes</w:t>
      </w:r>
      <w:r>
        <w:rPr>
          <w:vertAlign w:val="superscript"/>
        </w:rPr>
        <w:t xml:space="preserve">33,34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</w:t>
      </w:r>
      <w:r>
        <w:t xml:space="preserve"> </w:t>
      </w:r>
      <w:r>
        <w:t xml:space="preserve">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 causes upregulation</w:t>
      </w:r>
      <w:r>
        <w:t xml:space="preserve"> </w:t>
      </w:r>
      <w:r>
        <w:t xml:space="preserve">of genes involved in adipogenesis</w:t>
      </w:r>
      <w:r>
        <w:rPr>
          <w:vertAlign w:val="superscript"/>
        </w:rPr>
        <w:t xml:space="preserve">35</w:t>
      </w:r>
      <w:r>
        <w:t xml:space="preserve">. In the livers of</w:t>
      </w:r>
      <w:r>
        <w:t xml:space="preserve"> </w:t>
      </w:r>
      <w:r>
        <w:t xml:space="preserve">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</w:t>
      </w:r>
      <w:r>
        <w:t xml:space="preserve"> </w:t>
      </w:r>
      <w:r>
        <w:t xml:space="preserve">hepatocytes that accumulate large lipid droplets and have gene</w:t>
      </w:r>
      <w:r>
        <w:t xml:space="preserve"> </w:t>
      </w:r>
      <w:r>
        <w:t xml:space="preserve">expression profiles similar to that of adipocytes</w:t>
      </w:r>
      <w:r>
        <w:rPr>
          <w:vertAlign w:val="superscript"/>
        </w:rPr>
        <w:t xml:space="preserve">36,37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 (Methods). We tested</w:t>
      </w:r>
      <w:r>
        <w:t xml:space="preserve"> </w:t>
      </w:r>
      <w:r>
        <w:t xml:space="preserve">two questions. First, we asked whether the loadings identified in the DO</w:t>
      </w:r>
      <w:r>
        <w:t xml:space="preserve"> </w:t>
      </w:r>
      <w:r>
        <w:t xml:space="preserve">mice were relevant to the relationship between the transcriptome and the</w:t>
      </w:r>
      <w:r>
        <w:t xml:space="preserve"> </w:t>
      </w:r>
      <w:r>
        <w:t xml:space="preserve">phenome in the CC-RIX. We predicted body weight (a surrogate for</w:t>
      </w:r>
      <w:r>
        <w:t xml:space="preserve"> </w:t>
      </w:r>
      <w:r>
        <w:t xml:space="preserve">metabolic index)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</w:t>
      </w:r>
      <w:r>
        <w:t xml:space="preserve"> </w:t>
      </w:r>
      <w:hyperlink w:anchor="fig:cc_imputation">
        <w:r>
          <w:rPr>
            <w:rStyle w:val="Hyperlink"/>
          </w:rPr>
          <w:t xml:space="preserve">15</w:t>
        </w:r>
      </w:hyperlink>
      <w:r>
        <w:t xml:space="preserve">). However, these imputed values</w:t>
      </w:r>
      <w:r>
        <w:t xml:space="preserve"> </w:t>
      </w:r>
      <w:r>
        <w:t xml:space="preserve">failed to predict body weight in the CC-RIX when weighted with the</w:t>
      </w:r>
      <w:r>
        <w:t xml:space="preserve"> </w:t>
      </w:r>
      <w:r>
        <w:t xml:space="preserve">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</w:t>
      </w:r>
      <w:r>
        <w:t xml:space="preserve"> </w:t>
      </w:r>
      <w:r>
        <w:t xml:space="preserve">result suggests that local regulation of gene expression is not the</w:t>
      </w:r>
      <w:r>
        <w:t xml:space="preserve"> </w:t>
      </w:r>
      <w:r>
        <w:t xml:space="preserve">primary factor driving heritability of complex traits, consistent with</w:t>
      </w:r>
      <w:r>
        <w:t xml:space="preserve"> </w:t>
      </w:r>
      <w:r>
        <w:t xml:space="preserve">our findings in the DO population that distal heritability was a major</w:t>
      </w:r>
      <w:r>
        <w:t xml:space="preserve"> </w:t>
      </w:r>
      <w:r>
        <w:t xml:space="preserve">driver of trait-relevant variation and that high-loading transcripts had</w:t>
      </w:r>
      <w:r>
        <w:t xml:space="preserve"> </w:t>
      </w:r>
      <w:r>
        <w:t xml:space="preserve">comparatively high 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inferred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 highly enriched process correlating with</w:t>
      </w:r>
      <w:r>
        <w:t xml:space="preserve"> </w:t>
      </w:r>
      <w:r>
        <w:t xml:space="preserve">obesity in the DO population. For example, in humans, it has been</w:t>
      </w:r>
      <w:r>
        <w:t xml:space="preserve"> </w:t>
      </w:r>
      <w:r>
        <w:t xml:space="preserve">extensively observed that macrophage infiltration in adipose tissue is a</w:t>
      </w:r>
      <w:r>
        <w:t xml:space="preserve"> </w:t>
      </w:r>
      <w:r>
        <w:t xml:space="preserve">marker of obesity and metabolic disease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determine whether</w:t>
      </w:r>
      <w:r>
        <w:t xml:space="preserve"> </w:t>
      </w:r>
      <w:r>
        <w:t xml:space="preserve">the immune activation reflected a heritable change in cell composition</w:t>
      </w:r>
      <w:r>
        <w:t xml:space="preserve"> </w:t>
      </w:r>
      <w:r>
        <w:t xml:space="preserve">in adipose tissue in DO mice, we compared loadings of cell-type specific</w:t>
      </w:r>
      <w:r>
        <w:t xml:space="preserve"> </w:t>
      </w:r>
      <w:r>
        <w:t xml:space="preserve">genes in adipose tissue (Methods). Consistent with human results, the</w:t>
      </w:r>
      <w:r>
        <w:t xml:space="preserve"> </w:t>
      </w:r>
      <w:r>
        <w:t xml:space="preserve">mean loading of macrophage-specific genes was significantly greater than</w:t>
      </w:r>
      <w:r>
        <w:t xml:space="preserve"> </w:t>
      </w:r>
      <w:r>
        <w:t xml:space="preserve">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high-fat, high-sugar diet. Loading</w:t>
      </w:r>
      <w:r>
        <w:t xml:space="preserve"> </w:t>
      </w:r>
      <w:r>
        <w:t xml:space="preserve">for marker genes for other cell types were not statistically different</w:t>
      </w:r>
      <w:r>
        <w:t xml:space="preserve"> </w:t>
      </w:r>
      <w:r>
        <w:t xml:space="preserve">from zero, indicating that changes in the abundance of those cell types</w:t>
      </w:r>
      <w:r>
        <w:t xml:space="preserve"> </w:t>
      </w:r>
      <w:r>
        <w:t xml:space="preserve">is not a mediator of metabolic index.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We stress that this is not</w:t>
      </w:r>
      <w:r>
        <w:t xml:space="preserve"> </w:t>
      </w:r>
      <w:r>
        <w:t xml:space="preserve">necessarily reflective of the function of the beta cells in the obese</w:t>
      </w:r>
      <w:r>
        <w:t xml:space="preserve"> </w:t>
      </w:r>
      <w:r>
        <w:t xml:space="preserve">mice, but rather suggests that any variation in the number of beta cells</w:t>
      </w:r>
      <w:r>
        <w:t xml:space="preserve"> </w:t>
      </w:r>
      <w:r>
        <w:t xml:space="preserve">in these mice was unrelated to obesity and insulin resistance, the major</w:t>
      </w:r>
      <w:r>
        <w:t xml:space="preserve"> </w:t>
      </w:r>
      <w:r>
        <w:t xml:space="preserve">contributors to metabolic index. This is further consistent with the</w:t>
      </w:r>
      <w:r>
        <w:t xml:space="preserve"> </w:t>
      </w:r>
      <w:r>
        <w:t xml:space="preserve">islet composition traits having small loadings in the phenome score</w:t>
      </w:r>
      <w:r>
        <w:t xml:space="preserve"> </w:t>
      </w:r>
      <w:r>
        <w:t xml:space="preserve">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metabolic index identified in DO mice is relevant</w:t>
      </w:r>
      <w:r>
        <w:t xml:space="preserve"> </w:t>
      </w:r>
      <w:r>
        <w:t xml:space="preserve">to obesity and diabetes in human subjects.</w:t>
      </w:r>
    </w:p>
    <w:bookmarkEnd w:id="54"/>
    <w:bookmarkStart w:id="56" w:name="X75f4acf7e75d35b340851da2eaf604a353835e7"/>
    <w:p>
      <w:pPr>
        <w:pStyle w:val="Heading3"/>
      </w:pPr>
      <w:r>
        <w:t xml:space="preserve">Existing therapies are predicted to target mediator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redundant, and focusing on</w:t>
      </w:r>
      <w:r>
        <w:t xml:space="preserve"> </w:t>
      </w:r>
      <w:r>
        <w:t xml:space="preserve">individual transcripts for treatment may be less effective than using</w:t>
      </w:r>
      <w:r>
        <w:t xml:space="preserve"> </w:t>
      </w:r>
      <w:r>
        <w:t xml:space="preserve">broader transcriptomic signatures that capture the emergent biology</w:t>
      </w:r>
      <w:r>
        <w:t xml:space="preserve"> </w:t>
      </w:r>
      <w:r>
        <w:t xml:space="preserve">[</w:t>
      </w:r>
      <w:r>
        <w:t xml:space="preserve">cite or remove</w:t>
      </w:r>
      <w:r>
        <w:t xml:space="preserve">]</w:t>
      </w:r>
      <w:r>
        <w:t xml:space="preserve">. The ConnectivityMap (CMAP) database</w:t>
      </w:r>
      <w:r>
        <w:rPr>
          <w:vertAlign w:val="superscript"/>
        </w:rPr>
        <w:t xml:space="preserve">38</w:t>
      </w:r>
      <w:r>
        <w:t xml:space="preserve"> </w:t>
      </w:r>
      <w:r>
        <w:t xml:space="preserve">developed by the Broad Institute allows querying</w:t>
      </w:r>
      <w:r>
        <w:t xml:space="preserve"> </w:t>
      </w:r>
      <w:r>
        <w:t xml:space="preserve">thousands of compounds that reverse or enhance the extreme ends of</w:t>
      </w:r>
      <w:r>
        <w:t xml:space="preserve"> </w:t>
      </w:r>
      <w:r>
        <w:t xml:space="preserve">transcriptomic signatures in multiple different cell types. By</w:t>
      </w:r>
      <w:r>
        <w:t xml:space="preserve"> </w:t>
      </w:r>
      <w:r>
        <w:t xml:space="preserve">identifying drugs that reverse pathogenic transcriptomic signatures, we</w:t>
      </w:r>
      <w:r>
        <w:t xml:space="preserve"> </w:t>
      </w:r>
      <w:r>
        <w:t xml:space="preserve">can potentially identify compounds that have favorable effects on gene</w:t>
      </w:r>
      <w:r>
        <w:t xml:space="preserve"> </w:t>
      </w:r>
      <w:r>
        <w:t xml:space="preserve">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</w:t>
      </w:r>
      <w:r>
        <w:t xml:space="preserve"> </w:t>
      </w:r>
      <w:r>
        <w:t xml:space="preserve">(Supp. Figs</w:t>
      </w:r>
      <w:r>
        <w:t xml:space="preserve"> </w:t>
      </w:r>
      <w:hyperlink w:anchor="fig:clue_adipose_all">
        <w:r>
          <w:rPr>
            <w:rStyle w:val="Hyperlink"/>
          </w:rPr>
          <w:t xml:space="preserve">16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all">
        <w:r>
          <w:rPr>
            <w:rStyle w:val="Hyperlink"/>
          </w:rPr>
          <w:t xml:space="preserve">17</w:t>
        </w:r>
      </w:hyperlink>
      <w:r>
        <w:t xml:space="preserve">). To</w:t>
      </w:r>
      <w:r>
        <w:t xml:space="preserve"> </w:t>
      </w:r>
      <w:r>
        <w:t xml:space="preserve">get more tissue-specific results, we also looked at top results in cell</w:t>
      </w:r>
      <w:r>
        <w:t xml:space="preserve"> </w:t>
      </w:r>
      <w:r>
        <w:t xml:space="preserve">types that most closely resembled our tissues. We looked at results in</w:t>
      </w:r>
      <w:r>
        <w:t xml:space="preserve"> </w:t>
      </w:r>
      <w:r>
        <w:t xml:space="preserve">adipocytes (ASC) as well as pancreatic tumor cells (YAPC) regardless 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(Supp. Figs</w:t>
      </w:r>
      <w:r>
        <w:t xml:space="preserve"> </w:t>
      </w:r>
      <w:hyperlink w:anchor="fig:clue_adipose_asc">
        <w:r>
          <w:rPr>
            <w:rStyle w:val="Hyperlink"/>
          </w:rPr>
          <w:t xml:space="preserve">18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yapc">
        <w:r>
          <w:rPr>
            <w:rStyle w:val="Hyperlink"/>
          </w:rPr>
          <w:t xml:space="preserve">19</w:t>
        </w:r>
      </w:hyperlink>
      <w:r>
        <w:t xml:space="preserve">).</w:t>
      </w:r>
    </w:p>
    <w:p>
      <w:pPr>
        <w:pStyle w:val="BodyText"/>
      </w:pPr>
      <w:r>
        <w:t xml:space="preserve">Looking across all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(Supp. Fig.</w:t>
      </w:r>
      <w:r>
        <w:t xml:space="preserve"> </w:t>
      </w:r>
      <w:hyperlink w:anchor="fig:clue_adipose_all">
        <w:r>
          <w:rPr>
            <w:rStyle w:val="Hyperlink"/>
          </w:rPr>
          <w:t xml:space="preserve">16</w:t>
        </w:r>
      </w:hyperlink>
      <w:r>
        <w:t xml:space="preserve">). It is thought that metformin,</w:t>
      </w:r>
      <w:r>
        <w:t xml:space="preserve"> </w:t>
      </w:r>
      <w:r>
        <w:t xml:space="preserve">which is commonly used to improve glycemic control, acts, at least in</w:t>
      </w:r>
      <w:r>
        <w:t xml:space="preserve"> </w:t>
      </w:r>
      <w:r>
        <w:t xml:space="preserve">part, by inhibiting mTOR signaling</w:t>
      </w:r>
      <w:r>
        <w:rPr>
          <w:vertAlign w:val="superscript"/>
        </w:rPr>
        <w:t xml:space="preserve">39,40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40–42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43,44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45–47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48,49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(Supp. Fig.</w:t>
      </w:r>
      <w:r>
        <w:t xml:space="preserve"> </w:t>
      </w:r>
      <w:hyperlink w:anchor="fig:clue_adipose_asc">
        <w:r>
          <w:rPr>
            <w:rStyle w:val="Hyperlink"/>
          </w:rPr>
          <w:t xml:space="preserve">18</w:t>
        </w:r>
      </w:hyperlink>
      <w:r>
        <w:t xml:space="preserve">). PARPs play a</w:t>
      </w:r>
      <w:r>
        <w:t xml:space="preserve"> </w:t>
      </w:r>
      <w:r>
        <w:t xml:space="preserve">role in lipid metabolism and are involved in the development of obesity</w:t>
      </w:r>
      <w:r>
        <w:t xml:space="preserve"> </w:t>
      </w:r>
      <w:r>
        <w:t xml:space="preserve">and diabetes</w:t>
      </w:r>
      <w:r>
        <w:rPr>
          <w:vertAlign w:val="superscript"/>
        </w:rPr>
        <w:t xml:space="preserve">50</w:t>
      </w:r>
      <w:r>
        <w:t xml:space="preserve">. PARP1 inhibition increases</w:t>
      </w:r>
      <w:r>
        <w:t xml:space="preserve"> </w:t>
      </w:r>
      <w:r>
        <w:t xml:space="preserve">mitochondrial biogenesis</w:t>
      </w:r>
      <w:r>
        <w:rPr>
          <w:vertAlign w:val="superscript"/>
        </w:rPr>
        <w:t xml:space="preserve">51</w:t>
      </w:r>
      <w:r>
        <w:t xml:space="preserve">. Inihibition of PARP1</w:t>
      </w:r>
      <w:r>
        <w:t xml:space="preserve"> </w:t>
      </w:r>
      <w:r>
        <w:t xml:space="preserve">activity can further prevent necrosis in favor of the less inflammatory</w:t>
      </w:r>
      <w:r>
        <w:t xml:space="preserve"> </w:t>
      </w:r>
      <w:r>
        <w:t xml:space="preserve">apoptosis</w:t>
      </w:r>
      <w:r>
        <w:rPr>
          <w:vertAlign w:val="superscript"/>
        </w:rPr>
        <w:t xml:space="preserve">52</w:t>
      </w:r>
      <w:r>
        <w:t xml:space="preserve">, thereby potentially reducing inflammation</w:t>
      </w:r>
      <w:r>
        <w:t xml:space="preserve"> </w:t>
      </w:r>
      <w:r>
        <w:t xml:space="preserve">in 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53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54</w:t>
      </w:r>
      <w:r>
        <w:t xml:space="preserve">. IKK</w:t>
      </w:r>
      <w:r>
        <w:t xml:space="preserve"> </w:t>
      </w:r>
      <w:r>
        <w:t xml:space="preserve">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55,56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(Supp. Fig.</w:t>
      </w:r>
      <w:r>
        <w:t xml:space="preserve"> </w:t>
      </w:r>
      <w:hyperlink w:anchor="fig:clue_islet_all">
        <w:r>
          <w:rPr>
            <w:rStyle w:val="Hyperlink"/>
          </w:rPr>
          <w:t xml:space="preserve">17</w:t>
        </w:r>
      </w:hyperlink>
      <w:r>
        <w:t xml:space="preserve">), was suppression</w:t>
      </w:r>
      <w:r>
        <w:t xml:space="preserve"> </w:t>
      </w:r>
      <w:r>
        <w:t xml:space="preserve">of T cell receptor signaling, which is known to be involved in Type 1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57</w:t>
      </w:r>
      <w:r>
        <w:t xml:space="preserve">, as well as TNFR1, which has been</w:t>
      </w:r>
      <w:r>
        <w:t xml:space="preserve"> </w:t>
      </w:r>
      <w:r>
        <w:t xml:space="preserve">associated with mortality in diabetes patients</w:t>
      </w:r>
      <w:r>
        <w:rPr>
          <w:vertAlign w:val="superscript"/>
        </w:rPr>
        <w:t xml:space="preserve">58</w:t>
      </w:r>
      <w:r>
        <w:t xml:space="preserve">.</w:t>
      </w:r>
      <w:r>
        <w:t xml:space="preserve"> </w:t>
      </w:r>
      <w:r>
        <w:t xml:space="preserve">Suppression of NOD1/2 signaling was also among the top hits. NOD1 and 2</w:t>
      </w:r>
      <w:r>
        <w:t xml:space="preserve"> </w:t>
      </w:r>
      <w:r>
        <w:t xml:space="preserve">sense ER stress</w:t>
      </w:r>
      <w:r>
        <w:rPr>
          <w:vertAlign w:val="superscript"/>
        </w:rPr>
        <w:t xml:space="preserve">59,60</w:t>
      </w:r>
      <w:r>
        <w:t xml:space="preserve">, which is associated</w:t>
      </w:r>
      <w:r>
        <w:t xml:space="preserve"> </w:t>
      </w:r>
      <w:r>
        <w:t xml:space="preserve">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61</w:t>
      </w:r>
      <w:r>
        <w:t xml:space="preserve">. This cell death process is dependent on NOD1/2</w:t>
      </w:r>
      <w:r>
        <w:t xml:space="preserve"> </w:t>
      </w:r>
      <w:r>
        <w:t xml:space="preserve">signaling</w:t>
      </w:r>
      <w:r>
        <w:rPr>
          <w:vertAlign w:val="superscript"/>
        </w:rPr>
        <w:t xml:space="preserve">59</w:t>
      </w:r>
      <w:r>
        <w:t xml:space="preserve">, although the specifics have not yet been</w:t>
      </w:r>
      <w:r>
        <w:t xml:space="preserve"> </w:t>
      </w:r>
      <w:r>
        <w:t xml:space="preserve">worked 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 to get a transcriptional response more</w:t>
      </w:r>
      <w:r>
        <w:t xml:space="preserve"> </w:t>
      </w:r>
      <w:r>
        <w:t xml:space="preserve">specific to the pancreas (Supp. Fig.</w:t>
      </w:r>
      <w:r>
        <w:t xml:space="preserve"> </w:t>
      </w:r>
      <w:hyperlink w:anchor="fig:clue_islet_yapc">
        <w:r>
          <w:rPr>
            <w:rStyle w:val="Hyperlink"/>
          </w:rPr>
          <w:t xml:space="preserve">19</w:t>
        </w:r>
      </w:hyperlink>
      <w:r>
        <w:t xml:space="preserve">). Hits in</w:t>
      </w:r>
      <w:r>
        <w:t xml:space="preserve"> </w:t>
      </w:r>
      <w:r>
        <w:t xml:space="preserve">this list included widely used diabetes drugs, such as sulfonylureas,</w:t>
      </w:r>
      <w:r>
        <w:t xml:space="preserve"> </w:t>
      </w:r>
      <w:r>
        <w:t xml:space="preserve">PPAR receptor agonists, and insulin sensitizers. Rosiglitazone is a</w:t>
      </w:r>
      <w:r>
        <w:t xml:space="preserve"> </w:t>
      </w:r>
      <w:r>
        <w:t xml:space="preserve">PPAR-</w:t>
      </w:r>
      <m:oMath>
        <m:r>
          <m:t>γ</m:t>
        </m:r>
      </m:oMath>
      <w:r>
        <w:t xml:space="preserve"> </w:t>
      </w:r>
      <w:r>
        <w:t xml:space="preserve">agonist and was one of the most prescribed drugs for</w:t>
      </w:r>
      <w:r>
        <w:t xml:space="preserve"> </w:t>
      </w:r>
      <w:r>
        <w:t xml:space="preserve">type 2 diabetes before its use was reduced due to cardiac side-effects</w:t>
      </w:r>
      <w:r>
        <w:rPr>
          <w:vertAlign w:val="superscript"/>
        </w:rPr>
        <w:t xml:space="preserve">62</w:t>
      </w:r>
      <w:r>
        <w:t xml:space="preserve">. Sulfonylureas are another commonly prescribed drug</w:t>
      </w:r>
      <w:r>
        <w:t xml:space="preserve"> </w:t>
      </w:r>
      <w:r>
        <w:t xml:space="preserve">class for type 2 diabetes, but also have notable side effects including</w:t>
      </w:r>
      <w:r>
        <w:t xml:space="preserve"> </w:t>
      </w:r>
      <w:r>
        <w:t xml:space="preserve">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63</w:t>
      </w:r>
      <w:r>
        <w:t xml:space="preserve">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used a novel high-dimensional mediation analysis (HDMA) to</w:t>
      </w:r>
      <w:r>
        <w:t xml:space="preserve"> </w:t>
      </w:r>
      <w:r>
        <w:t xml:space="preserve">investigate the relative contributions of local and distal gene</w:t>
      </w:r>
      <w:r>
        <w:t xml:space="preserve"> </w:t>
      </w:r>
      <w:r>
        <w:t xml:space="preserve">regulation to heritable trait variation in genetically diverse mouse</w:t>
      </w:r>
      <w:r>
        <w:t xml:space="preserve"> </w:t>
      </w:r>
      <w:r>
        <w:t xml:space="preserve">models of diet-induced obesity and metabolic disease. We identified</w:t>
      </w:r>
      <w:r>
        <w:t xml:space="preserve"> </w:t>
      </w:r>
      <w:r>
        <w:t xml:space="preserve">tissue-specific composite transcripts that are predicted to mediate the</w:t>
      </w:r>
      <w:r>
        <w:t xml:space="preserve"> </w:t>
      </w:r>
      <w:r>
        <w:t xml:space="preserve">effect of genetic background on metabolic traits. Transcripts</w:t>
      </w:r>
      <w:r>
        <w:t xml:space="preserve"> </w:t>
      </w:r>
      <w:r>
        <w:t xml:space="preserve">contributing most strongly to these composite transcripts were distally,</w:t>
      </w:r>
      <w:r>
        <w:t xml:space="preserve"> </w:t>
      </w:r>
      <w:r>
        <w:t xml:space="preserve">but not locally heritable, and composite transcripts were able to</w:t>
      </w:r>
      <w:r>
        <w:t xml:space="preserve"> </w:t>
      </w:r>
      <w:r>
        <w:t xml:space="preserve">predict obesity in a large, independent mouse population with divergent</w:t>
      </w:r>
      <w:r>
        <w:t xml:space="preserve"> </w:t>
      </w:r>
      <w:r>
        <w:t xml:space="preserve">population structure, whereas models using local eQTL only could not.</w:t>
      </w:r>
      <w:r>
        <w:t xml:space="preserve"> </w:t>
      </w:r>
      <w:r>
        <w:t xml:space="preserve">Moreover, the composite transcript from mouse adipose tissue translated</w:t>
      </w:r>
      <w:r>
        <w:t xml:space="preserve"> </w:t>
      </w:r>
      <w:r>
        <w:t xml:space="preserve">to predict obesity and diabetes status in human cohorts with measured</w:t>
      </w:r>
      <w:r>
        <w:t xml:space="preserve"> </w:t>
      </w:r>
      <w:r>
        <w:t xml:space="preserve">adipose gene expression. Taken together, these results support the</w:t>
      </w:r>
      <w:r>
        <w:t xml:space="preserve"> </w:t>
      </w:r>
      <w:r>
        <w:t xml:space="preserve">hypothesis that gene expression mediating the effect of genetic</w:t>
      </w:r>
      <w:r>
        <w:t xml:space="preserve"> </w:t>
      </w:r>
      <w:r>
        <w:t xml:space="preserve">background on metabolic phenotypes is primarily distally regulated, and</w:t>
      </w:r>
      <w:r>
        <w:t xml:space="preserve"> </w:t>
      </w:r>
      <w:r>
        <w:t xml:space="preserve">that the heritable endophenotypes defined by gene expression signatures</w:t>
      </w:r>
      <w:r>
        <w:t xml:space="preserve"> </w:t>
      </w:r>
      <w:r>
        <w:t xml:space="preserve">translate from mice to humans. We speculate that the central importance</w:t>
      </w:r>
      <w:r>
        <w:t xml:space="preserve"> </w:t>
      </w:r>
      <w:r>
        <w:t xml:space="preserve">of distal heritability found in this study is likely to be a generic</w:t>
      </w:r>
      <w:r>
        <w:t xml:space="preserve"> </w:t>
      </w:r>
      <w:r>
        <w:t xml:space="preserve">finding for complex common diseases and could have significant</w:t>
      </w:r>
      <w:r>
        <w:t xml:space="preserve"> </w:t>
      </w:r>
      <w:r>
        <w:t xml:space="preserve">consequences for the development of therapies for these diseases.</w:t>
      </w:r>
    </w:p>
    <w:p>
      <w:pPr>
        <w:pStyle w:val="BodyText"/>
      </w:pPr>
      <w:r>
        <w:t xml:space="preserve">Genetics is indispensable for the dissection of disease mechanisms</w:t>
      </w:r>
      <w:r>
        <w:t xml:space="preserve"> </w:t>
      </w:r>
      <w:r>
        <w:t xml:space="preserve">because it is one of the only data modalities that supports causal</w:t>
      </w:r>
      <w:r>
        <w:t xml:space="preserve"> </w:t>
      </w:r>
      <w:r>
        <w:t xml:space="preserve">inferences about molecules and disease outcomes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It has</w:t>
      </w:r>
      <w:r>
        <w:t xml:space="preserve"> </w:t>
      </w:r>
      <w:r>
        <w:t xml:space="preserve">frequently been assumed that gene regulation 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 the</w:t>
      </w:r>
      <w:r>
        <w:t xml:space="preserve"> </w:t>
      </w:r>
      <w:r>
        <w:t xml:space="preserve">primary driver of genetically associated trait variation, but attempts</w:t>
      </w:r>
      <w:r>
        <w:t xml:space="preserve"> </w:t>
      </w:r>
      <w:r>
        <w:t xml:space="preserve">to use local gene regulation to explain phenotypic variation have had</w:t>
      </w:r>
      <w:r>
        <w:t xml:space="preserve"> </w:t>
      </w:r>
      <w:r>
        <w:t xml:space="preserve">limited success</w:t>
      </w:r>
      <w:r>
        <w:rPr>
          <w:vertAlign w:val="superscript"/>
        </w:rPr>
        <w:t xml:space="preserve">16,17</w:t>
      </w:r>
      <w:r>
        <w:t xml:space="preserve">. In recent years,</w:t>
      </w:r>
      <w:r>
        <w:t xml:space="preserve"> </w:t>
      </w:r>
      <w:r>
        <w:t xml:space="preserve">evidence has mounted that distal gene regulation may be an important</w:t>
      </w:r>
      <w:r>
        <w:t xml:space="preserve"> </w:t>
      </w:r>
      <w:r>
        <w:t xml:space="preserve">mediator of trait heritability</w:t>
      </w:r>
      <w:r>
        <w:rPr>
          <w:vertAlign w:val="superscript"/>
        </w:rPr>
        <w:t xml:space="preserve">18,19,64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those with low local heritability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Consistent with this observation, genes located near GWAS hits tend to</w:t>
      </w:r>
      <w:r>
        <w:t xml:space="preserve"> </w:t>
      </w:r>
      <w:r>
        <w:t xml:space="preserve">be complexly regulated</w:t>
      </w:r>
      <w:r>
        <w:rPr>
          <w:vertAlign w:val="superscript"/>
        </w:rPr>
        <w:t xml:space="preserve">18</w:t>
      </w:r>
      <w:r>
        <w:t xml:space="preserve">. They also tend to be</w:t>
      </w:r>
      <w:r>
        <w:t xml:space="preserve"> </w:t>
      </w:r>
      <w:r>
        <w:t xml:space="preserve">enriched with functional annotations, in contrast to genes with simple</w:t>
      </w:r>
      <w:r>
        <w:t xml:space="preserve"> </w:t>
      </w:r>
      <w:r>
        <w:t xml:space="preserve">local regulation, which tend to be depleted of functional annotations</w:t>
      </w:r>
      <w:r>
        <w:t xml:space="preserve"> </w:t>
      </w:r>
      <w:r>
        <w:t xml:space="preserve">suggesting they are less likely to be directly involved in disease</w:t>
      </w:r>
      <w:r>
        <w:t xml:space="preserve"> </w:t>
      </w:r>
      <w:r>
        <w:t xml:space="preserve">traits</w:t>
      </w:r>
      <w:r>
        <w:rPr>
          <w:vertAlign w:val="superscript"/>
        </w:rPr>
        <w:t xml:space="preserve">18</w:t>
      </w:r>
      <w:r>
        <w:t xml:space="preserve">. These observations are consistent with</w:t>
      </w:r>
      <w:r>
        <w:t xml:space="preserve"> </w:t>
      </w:r>
      <w:r>
        <w:t xml:space="preserve">principles of robustness in complex systems in which simple regulation</w:t>
      </w:r>
      <w:r>
        <w:t xml:space="preserve"> </w:t>
      </w:r>
      <w:r>
        <w:t xml:space="preserve">of imoprtant elements leads to fragility of the system</w:t>
      </w:r>
      <w:r>
        <w:rPr>
          <w:vertAlign w:val="superscript"/>
        </w:rPr>
        <w:t xml:space="preserve">65–67</w:t>
      </w:r>
      <w:r>
        <w:t xml:space="preserve">. Our results are</w:t>
      </w:r>
      <w:r>
        <w:t xml:space="preserve"> </w:t>
      </w:r>
      <w:r>
        <w:t xml:space="preserve">consistent, instead, with a more complex picture where genes whose</w:t>
      </w:r>
      <w:r>
        <w:t xml:space="preserve"> </w:t>
      </w:r>
      <w:r>
        <w:t xml:space="preserve">expression can drive trait variation are buffered from local genetic</w:t>
      </w:r>
      <w:r>
        <w:t xml:space="preserve"> </w:t>
      </w:r>
      <w:r>
        <w:t xml:space="preserve">variation but are extensively influenced indirectly by genetic variation</w:t>
      </w:r>
      <w:r>
        <w:t xml:space="preserve"> </w:t>
      </w:r>
      <w:r>
        <w:t xml:space="preserve">in the regulatory networks converging on those genes.</w:t>
      </w:r>
    </w:p>
    <w:p>
      <w:pPr>
        <w:pStyle w:val="BodyText"/>
      </w:pPr>
      <w:r>
        <w:t xml:space="preserve">Recently, the omnigenic model of complex traits has been proposed, which</w:t>
      </w:r>
      <w:r>
        <w:t xml:space="preserve"> </w:t>
      </w:r>
      <w:r>
        <w:t xml:space="preserve">posits that complex traits are massively polygenic and that their</w:t>
      </w:r>
      <w:r>
        <w:t xml:space="preserve"> </w:t>
      </w:r>
      <w:r>
        <w:t xml:space="preserve">heritability is spread out across the genome</w:t>
      </w:r>
      <w:r>
        <w:rPr>
          <w:vertAlign w:val="superscript"/>
        </w:rPr>
        <w:t xml:space="preserve">68</w:t>
      </w:r>
      <w:r>
        <w:t xml:space="preserve">. In the</w:t>
      </w:r>
      <w:r>
        <w:t xml:space="preserve"> </w:t>
      </w:r>
      <w:r>
        <w:t xml:space="preserve">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</w:t>
      </w:r>
      <w:r>
        <w:t xml:space="preserve"> </w:t>
      </w:r>
      <w:r>
        <w:t xml:space="preserve">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 not</w:t>
      </w:r>
      <w:r>
        <w:t xml:space="preserve"> </w:t>
      </w:r>
      <w:r>
        <w:t xml:space="preserve">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when the</w:t>
      </w:r>
      <w:r>
        <w:t xml:space="preserve"> </w:t>
      </w:r>
      <w:r>
        <w:t xml:space="preserve">composite transcript was taken into account there was no residual</w:t>
      </w:r>
      <w:r>
        <w:t xml:space="preserve"> </w:t>
      </w:r>
      <w:r>
        <w:t xml:space="preserve">correlation between the 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Thus, the transcript loadings can be interpreted as indicating higher</w:t>
      </w:r>
      <w:r>
        <w:t xml:space="preserve"> </w:t>
      </w:r>
      <w:r>
        <w:t xml:space="preserve">“</w:t>
      </w:r>
      <w:r>
        <w:t xml:space="preserve">core-ness</w:t>
      </w:r>
      <w:r>
        <w:t xml:space="preserve">”</w:t>
      </w:r>
      <w:r>
        <w:t xml:space="preserve"> </w:t>
      </w:r>
      <w:r>
        <w:t xml:space="preserve">of a transcript. Unlike in the omnigenic model, we did not</w:t>
      </w:r>
      <w:r>
        <w:t xml:space="preserve"> </w:t>
      </w:r>
      <w:r>
        <w:t xml:space="preserve">observe a clear demarcation between the core and peripheral genes in</w:t>
      </w:r>
      <w:r>
        <w:t xml:space="preserve"> </w:t>
      </w:r>
      <w:r>
        <w:t xml:space="preserve">loading magnitude, but we do not necessarily expect a clear separation</w:t>
      </w:r>
      <w:r>
        <w:t xml:space="preserve"> </w:t>
      </w:r>
      <w:r>
        <w:t xml:space="preserve">given the complexity of gene regulation and the genotype-phenotype map</w:t>
      </w:r>
      <w:r>
        <w:rPr>
          <w:vertAlign w:val="superscript"/>
        </w:rPr>
        <w:t xml:space="preserve">69</w:t>
      </w:r>
      <w:r>
        <w:t xml:space="preserve">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 that are potentially below</w:t>
      </w:r>
      <w:r>
        <w:t xml:space="preserve"> </w:t>
      </w:r>
      <w:r>
        <w:t xml:space="preserve">the detection threshold in studies with feasible sample sizes</w:t>
      </w:r>
      <w:r>
        <w:rPr>
          <w:vertAlign w:val="superscript"/>
        </w:rPr>
        <w:t xml:space="preserve">64</w:t>
      </w:r>
      <w:r>
        <w:t xml:space="preserve">. This is consistent with what we observed here. The</w:t>
      </w:r>
      <w:r>
        <w:t xml:space="preserve"> </w:t>
      </w:r>
      <w:r>
        <w:t xml:space="preserve">transcripts with the largest loadings were strongly distally regulated</w:t>
      </w:r>
      <w:r>
        <w:t xml:space="preserve"> </w:t>
      </w:r>
      <w:r>
        <w:t xml:space="preserve">and only weakly locally regulated, suggesting that distal gene</w:t>
      </w:r>
      <w:r>
        <w:t xml:space="preserve"> </w:t>
      </w:r>
      <w:r>
        <w:t xml:space="preserve">regulation plays a primary role in driving heritable trait variation. We</w:t>
      </w:r>
      <w:r>
        <w:t xml:space="preserve"> </w:t>
      </w:r>
      <w:r>
        <w:t xml:space="preserve">saw further that the patterns of distal heritability were not localized</w:t>
      </w:r>
      <w:r>
        <w:t xml:space="preserve"> </w:t>
      </w:r>
      <w:r>
        <w:t xml:space="preserve">to detectable distal eQTL, but rather were complex and spread across the</w:t>
      </w:r>
      <w:r>
        <w:t xml:space="preserve"> </w:t>
      </w:r>
      <w:r>
        <w:t xml:space="preserve">genome, even for transcripts whose expression was strongly regulated by</w:t>
      </w:r>
      <w:r>
        <w:t xml:space="preserve"> </w:t>
      </w:r>
      <w:r>
        <w:t xml:space="preserve">distal factors.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had a high loading in</w:t>
      </w:r>
      <w:r>
        <w:t xml:space="preserve"> </w:t>
      </w:r>
      <w:r>
        <w:t xml:space="preserve">islets and was also strongly distally regulated (66% distal</w:t>
      </w:r>
      <w:r>
        <w:t xml:space="preserve"> </w:t>
      </w:r>
      <w:r>
        <w:t xml:space="preserve">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This gene is</w:t>
      </w:r>
      <w:r>
        <w:t xml:space="preserve"> </w:t>
      </w:r>
      <w:r>
        <w:t xml:space="preserve">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</w:t>
      </w:r>
      <w:r>
        <w:t xml:space="preserve"> </w:t>
      </w:r>
      <w:r>
        <w:t xml:space="preserve">glucagon release</w:t>
      </w:r>
      <w:r>
        <w:rPr>
          <w:vertAlign w:val="superscript"/>
        </w:rPr>
        <w:t xml:space="preserve">70–72</w:t>
      </w:r>
      <w:r>
        <w:t xml:space="preserve">.</w:t>
      </w:r>
      <w:r>
        <w:t xml:space="preserve"> </w:t>
      </w:r>
      <w:r>
        <w:t xml:space="preserve">Although its transcription was highly heritable in islets, that</w:t>
      </w:r>
      <w:r>
        <w:t xml:space="preserve"> </w:t>
      </w:r>
      <w:r>
        <w:t xml:space="preserve">regulation was distributed across the genome, with no clear distal eQTL</w:t>
      </w:r>
      <w:r>
        <w:t xml:space="preserve"> </w:t>
      </w:r>
      <w:r>
        <w:t xml:space="preserve">(Supp. Fig.</w:t>
      </w:r>
      <w:r>
        <w:t xml:space="preserve"> </w:t>
      </w:r>
      <w:hyperlink w:anchor="fig:Nucb2_eqtl">
        <w:r>
          <w:rPr>
            <w:rStyle w:val="Hyperlink"/>
          </w:rPr>
          <w:t xml:space="preserve">20</w:t>
        </w:r>
      </w:hyperlink>
      <w:r>
        <w:t xml:space="preserve">). Thus, although distal regulation of</w:t>
      </w:r>
      <w:r>
        <w:t xml:space="preserve"> </w:t>
      </w:r>
      <w:r>
        <w:t xml:space="preserve">some genes may be strong, this regulation is likely to be highly complex</w:t>
      </w:r>
      <w:r>
        <w:t xml:space="preserve"> </w:t>
      </w:r>
      <w:r>
        <w:t xml:space="preserve">and not easily localized.</w:t>
      </w:r>
    </w:p>
    <w:p>
      <w:pPr>
        <w:pStyle w:val="BodyText"/>
      </w:pPr>
      <w:r>
        <w:t xml:space="preserve">We stress that HDMA is a method for causal hypothesis generation. As</w:t>
      </w:r>
      <w:r>
        <w:t xml:space="preserve"> </w:t>
      </w:r>
      <w:r>
        <w:t xml:space="preserve">with any causal inference approach, the output of HDMA can only be said</w:t>
      </w:r>
      <w:r>
        <w:t xml:space="preserve"> </w:t>
      </w:r>
      <w:r>
        <w:t xml:space="preserve">to be consistent with causal mediation but does not prove it. Proving</w:t>
      </w:r>
      <w:r>
        <w:t xml:space="preserve"> </w:t>
      </w:r>
      <w:r>
        <w:t xml:space="preserve">causality requires experimentation with direct control over the</w:t>
      </w:r>
      <w:r>
        <w:t xml:space="preserve"> </w:t>
      </w:r>
      <w:r>
        <w:t xml:space="preserve">mediating variable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The issue of experimentation, however, is</w:t>
      </w:r>
      <w:r>
        <w:t xml:space="preserve"> </w:t>
      </w:r>
      <w:r>
        <w:t xml:space="preserve">subtle. The dimension-reduction in HDMA is distinguished by the fact</w:t>
      </w:r>
      <w:r>
        <w:t xml:space="preserve"> </w:t>
      </w:r>
      <w:r>
        <w:t xml:space="preserve">that the putative causal intermediates can be emergent states defined by</w:t>
      </w:r>
      <w:r>
        <w:t xml:space="preserve"> </w:t>
      </w:r>
      <w:r>
        <w:t xml:space="preserve">the expression of thousands of genes. This is a strength, because the</w:t>
      </w:r>
      <w:r>
        <w:t xml:space="preserve"> </w:t>
      </w:r>
      <w:r>
        <w:t xml:space="preserve">mediating variable can be a higher-order process such as</w:t>
      </w:r>
      <w:r>
        <w:t xml:space="preserve"> </w:t>
      </w:r>
      <w:r>
        <w:t xml:space="preserve">“</w:t>
      </w:r>
      <w:r>
        <w:t xml:space="preserve">macrophage</w:t>
      </w:r>
      <w:r>
        <w:t xml:space="preserve"> </w:t>
      </w:r>
      <w:r>
        <w:t xml:space="preserve">activation and infiltration</w:t>
      </w:r>
      <w:r>
        <w:t xml:space="preserve">”</w:t>
      </w:r>
      <w:r>
        <w:t xml:space="preserve">, but, in contrast to univariate hypotheses</w:t>
      </w:r>
      <w:r>
        <w:t xml:space="preserve"> </w:t>
      </w:r>
      <w:r>
        <w:t xml:space="preserve">at the level of individual transcripts, the relevant validation</w:t>
      </w:r>
      <w:r>
        <w:t xml:space="preserve"> </w:t>
      </w:r>
      <w:r>
        <w:t xml:space="preserve">experiment may be technologically infeasible, unknowable a priori, or</w:t>
      </w:r>
      <w:r>
        <w:t xml:space="preserve"> </w:t>
      </w:r>
      <w:r>
        <w:t xml:space="preserve">both. Nevertheless, downstream analyses of the composite transcripts</w:t>
      </w:r>
      <w:r>
        <w:t xml:space="preserve"> </w:t>
      </w:r>
      <w:r>
        <w:t xml:space="preserve">strongly supports a causal interpretation. Indeed, the composite</w:t>
      </w:r>
      <w:r>
        <w:t xml:space="preserve"> </w:t>
      </w:r>
      <w:r>
        <w:t xml:space="preserve">transcripts identified by HDMA are richly interpretable in both tissue-</w:t>
      </w:r>
      <w:r>
        <w:t xml:space="preserve"> </w:t>
      </w:r>
      <w:r>
        <w:t xml:space="preserve">and gene-specific manners. The transcripts with the strongest loadings</w:t>
      </w:r>
      <w:r>
        <w:t xml:space="preserve"> </w:t>
      </w:r>
      <w:r>
        <w:t xml:space="preserve">were enriched in biological functions previously known to be involved in</w:t>
      </w:r>
      <w:r>
        <w:t xml:space="preserve"> </w:t>
      </w:r>
      <w:r>
        <w:t xml:space="preserve">the pathogenesis of metabolic disease, such as inflammation in adipose</w:t>
      </w:r>
      <w:r>
        <w:t xml:space="preserve"> </w:t>
      </w:r>
      <w:r>
        <w:t xml:space="preserve">tissue. That these processes were identified in this analysis suggests</w:t>
      </w:r>
      <w:r>
        <w:t xml:space="preserve"> </w:t>
      </w:r>
      <w:r>
        <w:t xml:space="preserve">additionally that they have a heritable component, and that some</w:t>
      </w:r>
      <w:r>
        <w:t xml:space="preserve"> </w:t>
      </w:r>
      <w:r>
        <w:t xml:space="preserve">individuals are genetically susceptible to greater adipose inflammation</w:t>
      </w:r>
      <w:r>
        <w:t xml:space="preserve"> </w:t>
      </w:r>
      <w:r>
        <w:t xml:space="preserve">on a high-fat, high-sugar diet.</w:t>
      </w:r>
    </w:p>
    <w:p>
      <w:pPr>
        <w:pStyle w:val="BodyText"/>
      </w:pPr>
      <w:r>
        <w:t xml:space="preserve">Individual high-loading transcripts also demonstrated biologically</w:t>
      </w:r>
      <w:r>
        <w:t xml:space="preserve"> </w:t>
      </w:r>
      <w:r>
        <w:t xml:space="preserve">interpretable, 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</w:t>
      </w:r>
      <w:r>
        <w:t xml:space="preserve"> </w:t>
      </w:r>
      <w:r>
        <w:t xml:space="preserve">which is known to be protective in adipose tissue</w:t>
      </w:r>
      <w:r>
        <w:rPr>
          <w:vertAlign w:val="superscript"/>
        </w:rPr>
        <w:t xml:space="preserve">32</w:t>
      </w:r>
      <w:r>
        <w:t xml:space="preserve"> </w:t>
      </w:r>
      <w:r>
        <w:t xml:space="preserve">where it was negatively loaded, and harmful in the liver</w:t>
      </w:r>
      <w:r>
        <w:rPr>
          <w:vertAlign w:val="superscript"/>
        </w:rPr>
        <w:t xml:space="preserve">33–37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system-wide.</w:t>
      </w:r>
    </w:p>
    <w:p>
      <w:pPr>
        <w:pStyle w:val="BodyText"/>
      </w:pPr>
      <w:r>
        <w:t xml:space="preserve">In addition to identifying individual transcripts of interest, the</w:t>
      </w:r>
      <w:r>
        <w:t xml:space="preserve"> </w:t>
      </w:r>
      <w:r>
        <w:t xml:space="preserve">composite transcripts can be used as weighted vectors in multiple types</w:t>
      </w:r>
      <w:r>
        <w:t xml:space="preserve"> </w:t>
      </w:r>
      <w:r>
        <w:t xml:space="preserve">of analysis, such as drug prioritization using gene set enrichment</w:t>
      </w:r>
      <w:r>
        <w:t xml:space="preserve"> </w:t>
      </w:r>
      <w:r>
        <w:t xml:space="preserve">analysis (GSEA) and the CMAP database. In particular, the CMAP analysis</w:t>
      </w:r>
      <w:r>
        <w:t xml:space="preserve"> </w:t>
      </w:r>
      <w:r>
        <w:t xml:space="preserve">identified drugs which have been demonstrated to reverse insulin</w:t>
      </w:r>
      <w:r>
        <w:t xml:space="preserve"> </w:t>
      </w:r>
      <w:r>
        <w:t xml:space="preserve">resistance and other aspects of metabolic disease. This finding supports</w:t>
      </w:r>
      <w:r>
        <w:t xml:space="preserve"> </w:t>
      </w:r>
      <w:r>
        <w:t xml:space="preserve">the causal role of these full gene signatures in pathogenesis of</w:t>
      </w:r>
      <w:r>
        <w:t xml:space="preserve"> </w:t>
      </w:r>
      <w:r>
        <w:t xml:space="preserve">metabolic disease and thus their utility in prioritizing drugs and gene</w:t>
      </w:r>
      <w:r>
        <w:t xml:space="preserve"> </w:t>
      </w:r>
      <w:r>
        <w:t xml:space="preserve">targets as therapeutics.</w:t>
      </w:r>
    </w:p>
    <w:p>
      <w:pPr>
        <w:pStyle w:val="BodyText"/>
      </w:pPr>
      <w:r>
        <w:t xml:space="preserve">Another useful application of the composite transcripts is to pair them</w:t>
      </w:r>
      <w:r>
        <w:t xml:space="preserve"> </w:t>
      </w:r>
      <w:r>
        <w:t xml:space="preserve">with cell-type specific genes to generate causal hypotheses about</w:t>
      </w:r>
      <w:r>
        <w:t xml:space="preserve"> </w:t>
      </w:r>
      <w:r>
        <w:t xml:space="preserve">changes in cell composition in individual tissues. Combining the</w:t>
      </w:r>
      <w:r>
        <w:t xml:space="preserve"> </w:t>
      </w:r>
      <w:r>
        <w:t xml:space="preserve">multi-tissue, transcriptome-wide weighted vectors with public databases</w:t>
      </w:r>
      <w:r>
        <w:t xml:space="preserve"> </w:t>
      </w:r>
      <w:r>
        <w:t xml:space="preserve">and data sets thus provides a path for generating a wide range of</w:t>
      </w:r>
      <w:r>
        <w:t xml:space="preserve"> </w:t>
      </w:r>
      <w:r>
        <w:t xml:space="preserve">testable hypotheses. Moreover, each publically available data set we</w:t>
      </w:r>
      <w:r>
        <w:t xml:space="preserve"> </w:t>
      </w:r>
      <w:r>
        <w:t xml:space="preserve">used for interpretation of the HDMA results was derived from human</w:t>
      </w:r>
      <w:r>
        <w:t xml:space="preserve"> </w:t>
      </w:r>
      <w:r>
        <w:t xml:space="preserve">tissues or cell lines, thus demonstrating the translatability of the</w:t>
      </w:r>
      <w:r>
        <w:t xml:space="preserve"> </w:t>
      </w:r>
      <w:r>
        <w:t xml:space="preserve">HDMA results to humans. That the mouse-derived adipose composite</w:t>
      </w:r>
      <w:r>
        <w:t xml:space="preserve"> </w:t>
      </w:r>
      <w:r>
        <w:t xml:space="preserve">transcript was able to classify human adipose gene expression in terms</w:t>
      </w:r>
      <w:r>
        <w:t xml:space="preserve"> </w:t>
      </w:r>
      <w:r>
        <w:t xml:space="preserve">of obesity and diabetes status further supports the direct</w:t>
      </w:r>
      <w:r>
        <w:t xml:space="preserve"> </w:t>
      </w:r>
      <w:r>
        <w:t xml:space="preserve">translatablility of these findings, the utility of HDMA, and the</w:t>
      </w:r>
      <w:r>
        <w:t xml:space="preserve"> </w:t>
      </w:r>
      <w:r>
        <w:t xml:space="preserve">continued importance of mouse models of human disease in which it is</w:t>
      </w:r>
      <w:r>
        <w:t xml:space="preserve"> </w:t>
      </w:r>
      <w:r>
        <w:t xml:space="preserve">possible to obtain complete transriptomes in mutliple tissues across</w:t>
      </w:r>
      <w:r>
        <w:t xml:space="preserve"> </w:t>
      </w:r>
      <w:r>
        <w:t xml:space="preserve">large numbers of individuals.</w:t>
      </w:r>
    </w:p>
    <w:p>
      <w:pPr>
        <w:pStyle w:val="BodyText"/>
      </w:pPr>
      <w:r>
        <w:t xml:space="preserve">Altogether, our results have shown that both tissue specificity and</w:t>
      </w:r>
      <w:r>
        <w:t xml:space="preserve"> </w:t>
      </w:r>
      <w:r>
        <w:t xml:space="preserve">distal gene regulation are critically important to understanding the</w:t>
      </w:r>
      <w:r>
        <w:t xml:space="preserve"> </w:t>
      </w:r>
      <w:r>
        <w:t xml:space="preserve">genetic architecture of complex traits. We identified important genes</w:t>
      </w:r>
      <w:r>
        <w:t xml:space="preserve"> </w:t>
      </w:r>
      <w:r>
        <w:t xml:space="preserve">and gene signatures that were heritable, plausibly causal of disease,</w:t>
      </w:r>
      <w:r>
        <w:t xml:space="preserve"> </w:t>
      </w:r>
      <w:r>
        <w:t xml:space="preserve">and translatable to other mouse populations and to humans. Finally, we</w:t>
      </w:r>
      <w:r>
        <w:t xml:space="preserve"> </w:t>
      </w:r>
      <w:r>
        <w:t xml:space="preserve">have shown that by directly acknowledging the complexity of both gene</w:t>
      </w:r>
      <w:r>
        <w:t xml:space="preserve"> </w:t>
      </w:r>
      <w:r>
        <w:t xml:space="preserve">regulation and the genotype-to-phenotype map, we can gain a new</w:t>
      </w:r>
      <w:r>
        <w:t xml:space="preserve"> </w:t>
      </w:r>
      <w:r>
        <w:t xml:space="preserve">perspective on disease pathogenesis and develop actionable hypotheses</w:t>
      </w:r>
      <w:r>
        <w:t xml:space="preserve"> </w:t>
      </w:r>
      <w:r>
        <w:t xml:space="preserve">about pathogenic mechanisms and potential treatments.</w:t>
      </w:r>
    </w:p>
    <w:bookmarkEnd w:id="58"/>
    <w:bookmarkStart w:id="59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9"/>
    <w:bookmarkStart w:id="60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60"/>
    <w:bookmarkStart w:id="172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Figures/Supp_Fig1_eQTL.pdf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Figures/Supp_Fig_enrichments_KEGG.pdf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Figures/Supp_Fig_enrichments_GO.pdf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3857015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Figures/Supp_Fig_OxPhos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7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oxidative phosphorylation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oxidative phosphorylation</w:t>
      </w:r>
      <w:r>
        <w:t xml:space="preserve"> </w:t>
      </w:r>
      <w:r>
        <w:t xml:space="preserve">was associated with reduced metabolic index.</w:t>
      </w:r>
      <w:r>
        <w:t xml:space="preserve"> </w:t>
      </w:r>
    </w:p>
    <w:p>
      <w:pPr>
        <w:pStyle w:val="CaptionedFigure"/>
      </w:pPr>
      <w:r>
        <w:drawing>
          <wp:inline>
            <wp:extent cx="5334000" cy="4052740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ures/Supp_Fig_TCA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2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the TCA (citric acid) cycle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Many genes in the cycle were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metabolic index.</w:t>
      </w:r>
      <w:r>
        <w:t xml:space="preserve"> </w:t>
      </w:r>
    </w:p>
    <w:p>
      <w:pPr>
        <w:pStyle w:val="CaptionedFigure"/>
      </w:pPr>
      <w:r>
        <w:drawing>
          <wp:inline>
            <wp:extent cx="5334000" cy="6402056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Figures/Supp_Fig_Branched_Chain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2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branched-chain amino acid degradation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metabolic index.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Figures/Supp_Fig_CC-RIX_Imputation.pdf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Figures/Supp_Fig_Adipose_all_cell_types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Clue.io results using the adipose tissue composite transcript as</w:t>
      </w:r>
      <w:r>
        <w:t xml:space="preserve"> </w:t>
      </w:r>
      <w:r>
        <w:t xml:space="preserve">an input. All results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 </w:t>
      </w:r>
      <w:r>
        <w:t xml:space="preserve">across all cell types are shown.</w:t>
      </w:r>
      <w:r>
        <w:t xml:space="preserve"> </w:t>
      </w:r>
    </w:p>
    <w:p>
      <w:pPr>
        <w:pStyle w:val="CaptionedFigure"/>
      </w:pPr>
      <w:r>
        <w:drawing>
          <wp:inline>
            <wp:extent cx="5334000" cy="3225362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Figures/Supp_Fig_Islet_all_cell_types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5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Clue.io results using the pancreatic islet composite transcript as</w:t>
      </w:r>
      <w:r>
        <w:t xml:space="preserve"> </w:t>
      </w:r>
      <w:r>
        <w:t xml:space="preserve">an input. All results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 </w:t>
      </w:r>
      <w:r>
        <w:t xml:space="preserve">across all cell types are shown.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Figures/Supp_Fig_Adipose_ASC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Clue.io results using the adipose tissue composite transcript as</w:t>
      </w:r>
      <w:r>
        <w:t xml:space="preserve"> </w:t>
      </w:r>
      <w:r>
        <w:t xml:space="preserve">an input. Results are limited to the 30 most negatively correlated signals</w:t>
      </w:r>
      <w:r>
        <w:t xml:space="preserve"> </w:t>
      </w:r>
      <w:r>
        <w:t xml:space="preserve">from normal adipocytes.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Figures/Supp_Fig_Islet_YAPC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Clue.io results using the pancreatic islet composite transcript as</w:t>
      </w:r>
      <w:r>
        <w:t xml:space="preserve"> </w:t>
      </w:r>
      <w:r>
        <w:t xml:space="preserve">an input. Results are limited to the 30 most negatively correlated signals</w:t>
      </w:r>
      <w:r>
        <w:t xml:space="preserve"> </w:t>
      </w:r>
      <w:r>
        <w:t xml:space="preserve">from YAPC cells, which were derived from a pancreatic carcinoma cells.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Figures/Supplemental_FigX_Nucb2_eQTL.pdf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71" w:name="refs"/>
    <w:bookmarkStart w:id="97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97"/>
    <w:bookmarkStart w:id="98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98"/>
    <w:bookmarkStart w:id="99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99"/>
    <w:bookmarkStart w:id="100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100"/>
    <w:bookmarkStart w:id="101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101"/>
    <w:bookmarkStart w:id="102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102"/>
    <w:bookmarkStart w:id="103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103"/>
    <w:bookmarkStart w:id="104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104"/>
    <w:bookmarkStart w:id="105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105"/>
    <w:bookmarkStart w:id="106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106"/>
    <w:bookmarkStart w:id="107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107"/>
    <w:bookmarkStart w:id="108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108"/>
    <w:bookmarkStart w:id="109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109"/>
    <w:bookmarkStart w:id="110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110"/>
    <w:bookmarkStart w:id="111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111"/>
    <w:bookmarkStart w:id="112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112"/>
    <w:bookmarkStart w:id="113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113"/>
    <w:bookmarkStart w:id="114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114"/>
    <w:bookmarkStart w:id="115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115"/>
    <w:bookmarkStart w:id="116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116"/>
    <w:bookmarkStart w:id="117" w:name="ref-pmid228928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117"/>
    <w:bookmarkStart w:id="118" w:name="ref-pmid18716833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Chesler, E. J.</w:t>
      </w:r>
      <w:r>
        <w:t xml:space="preserve"> </w:t>
      </w:r>
      <w:r>
        <w:rPr>
          <w:iCs/>
          <w:i/>
        </w:rPr>
        <w:t xml:space="preserve">et al.</w:t>
      </w:r>
      <w:r>
        <w:t xml:space="preserve"> The collaborative cross at oak ridge national laboratory: Developing a powerful resource for systems genetics.</w:t>
      </w:r>
      <w:r>
        <w:t xml:space="preserve"> </w:t>
      </w:r>
      <w:r>
        <w:rPr>
          <w:iCs/>
          <w:i/>
        </w:rPr>
        <w:t xml:space="preserve">Mammalian Genome</w:t>
      </w:r>
      <w:r>
        <w:t xml:space="preserve"> </w:t>
      </w:r>
      <w:r>
        <w:rPr>
          <w:bCs/>
          <w:b/>
        </w:rPr>
        <w:t xml:space="preserve">19</w:t>
      </w:r>
      <w:r>
        <w:t xml:space="preserve">, 382–389 (2008).</w:t>
      </w:r>
    </w:p>
    <w:bookmarkEnd w:id="118"/>
    <w:bookmarkStart w:id="119" w:name="ref-pmid31133439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119"/>
    <w:bookmarkStart w:id="120" w:name="ref-pmid17018838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120"/>
    <w:bookmarkStart w:id="121" w:name="ref-pmid30591514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121"/>
    <w:bookmarkStart w:id="123" w:name="ref-rgcca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122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23"/>
    <w:bookmarkStart w:id="125" w:name="ref-fgsea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24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25"/>
    <w:bookmarkStart w:id="126" w:name="ref-pmid16199517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26"/>
    <w:bookmarkStart w:id="127" w:name="ref-pmid18492779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Kus, V.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nduction of muscle thermogenesis by high-fat diet in mice: association with obesity-resistance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295</w:t>
      </w:r>
      <w:r>
        <w:t xml:space="preserve">, E356–367 (2008).</w:t>
      </w:r>
    </w:p>
    <w:bookmarkEnd w:id="127"/>
    <w:bookmarkStart w:id="128" w:name="ref-pmid22560213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28"/>
    <w:bookmarkStart w:id="129" w:name="ref-pmid19841271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29"/>
    <w:bookmarkStart w:id="130" w:name="ref-pmid17389767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30"/>
    <w:bookmarkStart w:id="131" w:name="ref-pmid12805374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31"/>
    <w:bookmarkStart w:id="132" w:name="ref-pmid12618528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32"/>
    <w:bookmarkStart w:id="133" w:name="ref-pmid16357043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33"/>
    <w:bookmarkStart w:id="134" w:name="ref-pmid15644454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34"/>
    <w:bookmarkStart w:id="135" w:name="ref-pmid16403437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35"/>
    <w:bookmarkStart w:id="136" w:name="ref-pmid17008526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36"/>
    <w:bookmarkStart w:id="137" w:name="ref-pmid30290005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37"/>
    <w:bookmarkStart w:id="138" w:name="ref-pmid30034573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38"/>
    <w:bookmarkStart w:id="139" w:name="ref-pmid23881200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39"/>
    <w:bookmarkStart w:id="140" w:name="ref-pmid21266327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40"/>
    <w:bookmarkStart w:id="141" w:name="ref-pmid24582093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41"/>
    <w:bookmarkStart w:id="142" w:name="ref-pmid35585199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42"/>
    <w:bookmarkStart w:id="143" w:name="ref-pmid30310815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43"/>
    <w:bookmarkStart w:id="144" w:name="ref-pmid11254472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44"/>
    <w:bookmarkStart w:id="145" w:name="ref-pmid23197361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45"/>
    <w:bookmarkStart w:id="146" w:name="ref-pmid27411014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46"/>
    <w:bookmarkStart w:id="147" w:name="ref-pmid25385872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47"/>
    <w:bookmarkStart w:id="148" w:name="ref-pmid34450194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48"/>
    <w:bookmarkStart w:id="149" w:name="ref-pmid21459330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49"/>
    <w:bookmarkStart w:id="150" w:name="ref-pmid12114611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50"/>
    <w:bookmarkStart w:id="151" w:name="ref-pmid33648925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51"/>
    <w:bookmarkStart w:id="152" w:name="ref-pmid28753229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52"/>
    <w:bookmarkStart w:id="153" w:name="ref-pmid28683283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53"/>
    <w:bookmarkStart w:id="154" w:name="ref-pmid15685170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54"/>
    <w:bookmarkStart w:id="155" w:name="ref-pmid33603744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55"/>
    <w:bookmarkStart w:id="156" w:name="ref-pmid32281000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56"/>
    <w:bookmarkStart w:id="157" w:name="ref-pmid27007849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57"/>
    <w:bookmarkStart w:id="158" w:name="ref-pmid28823510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58"/>
    <w:bookmarkStart w:id="159" w:name="ref-pmid24520198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59"/>
    <w:bookmarkStart w:id="160" w:name="ref-pmid21190462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60"/>
    <w:bookmarkStart w:id="161" w:name="ref-pmid16631807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61"/>
    <w:bookmarkStart w:id="162" w:name="ref-pmid31051098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62"/>
    <w:bookmarkStart w:id="163" w:name="ref-pmid29782925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63"/>
    <w:bookmarkStart w:id="164" w:name="ref-pmid12082173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64"/>
    <w:bookmarkStart w:id="165" w:name="ref-pmid27304973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65"/>
    <w:bookmarkStart w:id="166" w:name="ref-pmid28622505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66"/>
    <w:bookmarkStart w:id="167" w:name="ref-pmid29906445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67"/>
    <w:bookmarkStart w:id="168" w:name="ref-pmid22108805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68"/>
    <w:bookmarkStart w:id="169" w:name="ref-pmid23537085"/>
    <w:p>
      <w:pPr>
        <w:pStyle w:val="Bibliography"/>
      </w:pPr>
      <w:r>
        <w:t xml:space="preserve">71.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69"/>
    <w:bookmarkStart w:id="170" w:name="ref-pmid24993278"/>
    <w:p>
      <w:pPr>
        <w:pStyle w:val="Bibliography"/>
      </w:pPr>
      <w:r>
        <w:t xml:space="preserve">72.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70"/>
    <w:bookmarkEnd w:id="171"/>
    <w:bookmarkEnd w:id="17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1" Target="media/rId61.pdf" /><Relationship Type="http://schemas.openxmlformats.org/officeDocument/2006/relationships/image" Id="rId88" Target="media/rId88.png" /><Relationship Type="http://schemas.openxmlformats.org/officeDocument/2006/relationships/image" Id="rId82" Target="media/rId82.png" /><Relationship Type="http://schemas.openxmlformats.org/officeDocument/2006/relationships/image" Id="rId76" Target="media/rId76.png" /><Relationship Type="http://schemas.openxmlformats.org/officeDocument/2006/relationships/image" Id="rId79" Target="media/rId79.pdf" /><Relationship Type="http://schemas.openxmlformats.org/officeDocument/2006/relationships/image" Id="rId91" Target="media/rId91.png" /><Relationship Type="http://schemas.openxmlformats.org/officeDocument/2006/relationships/image" Id="rId85" Target="media/rId85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67" Target="media/rId67.pdf" /><Relationship Type="http://schemas.openxmlformats.org/officeDocument/2006/relationships/image" Id="rId64" Target="media/rId64.pdf" /><Relationship Type="http://schemas.openxmlformats.org/officeDocument/2006/relationships/image" Id="rId94" Target="media/rId94.pdf" /><Relationship Type="http://schemas.openxmlformats.org/officeDocument/2006/relationships/hyperlink" Id="rId122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24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22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24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2024-08-30T18:08:06Z</dcterms:created>
  <dcterms:modified xsi:type="dcterms:W3CDTF">2024-08-30T18:08:06Z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